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方正小标宋简体" w:hAnsi="宋体" w:eastAsiaTheme="minorEastAsia"/>
          <w:bCs/>
          <w:kern w:val="0"/>
          <w:szCs w:val="21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  《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  <w:lang w:val="en-US" w:eastAsia="zh-CN"/>
        </w:rPr>
        <w:t>航空英语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》课程教学大纲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【外贸谈判】</w:t>
      </w:r>
    </w:p>
    <w:p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Times New Roman" w:hAnsi="Times New Roman"/>
          <w:b/>
          <w:sz w:val="28"/>
          <w:szCs w:val="30"/>
        </w:rPr>
        <w:t>International Business Negotiation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2020504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b w:val="0"/>
          <w:bCs w:val="0"/>
          <w:color w:val="000000"/>
          <w:szCs w:val="21"/>
          <w:lang w:val="en-US" w:eastAsia="zh-CN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 w:val="0"/>
          <w:bCs w:val="0"/>
          <w:color w:val="000000"/>
          <w:sz w:val="20"/>
          <w:szCs w:val="20"/>
          <w:lang w:val="en-US" w:eastAsia="zh-CN"/>
        </w:rPr>
        <w:t>外国语学院英语系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  <w:lang w:val="en-US" w:eastAsia="zh-CN"/>
        </w:rPr>
        <w:t>民用航空实务实务英语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  <w:lang w:val="en-US" w:eastAsia="zh-CN"/>
        </w:rPr>
        <w:t>张力，刘茗翀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  <w:lang w:val="en-US" w:eastAsia="zh-CN"/>
        </w:rPr>
        <w:t>清华</w:t>
      </w:r>
      <w:r>
        <w:rPr>
          <w:rFonts w:hint="eastAsia"/>
          <w:color w:val="000000"/>
          <w:sz w:val="20"/>
          <w:szCs w:val="20"/>
        </w:rPr>
        <w:t>大学出版社 201</w:t>
      </w:r>
      <w:r>
        <w:rPr>
          <w:rFonts w:hint="eastAsia"/>
          <w:color w:val="000000"/>
          <w:sz w:val="20"/>
          <w:szCs w:val="20"/>
          <w:lang w:val="en-US" w:eastAsia="zh-CN"/>
        </w:rPr>
        <w:t>6</w:t>
      </w:r>
      <w:r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  <w:lang w:val="en-US" w:eastAsia="zh-CN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700" w:firstLineChars="350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辅助教材【</w:t>
      </w:r>
      <w:r>
        <w:rPr>
          <w:rFonts w:hint="eastAsia" w:ascii="宋体" w:hAnsi="宋体" w:eastAsia="宋体"/>
          <w:color w:val="000000"/>
          <w:sz w:val="20"/>
          <w:szCs w:val="20"/>
          <w:lang w:val="en-US" w:eastAsia="zh-CN"/>
        </w:rPr>
        <w:t>民航英语口语教程</w:t>
      </w:r>
      <w:r>
        <w:rPr>
          <w:rFonts w:hint="eastAsia" w:ascii="宋体" w:hAnsi="宋体" w:eastAsia="宋体"/>
          <w:color w:val="000000"/>
          <w:sz w:val="20"/>
          <w:szCs w:val="20"/>
          <w:lang w:eastAsia="zh-CN"/>
        </w:rPr>
        <w:t xml:space="preserve"> </w:t>
      </w:r>
      <w:r>
        <w:rPr>
          <w:rFonts w:hint="eastAsia" w:ascii="宋体" w:hAnsi="宋体" w:eastAsia="宋体"/>
          <w:color w:val="000000"/>
          <w:sz w:val="20"/>
          <w:szCs w:val="20"/>
          <w:lang w:val="en-US" w:eastAsia="zh-CN"/>
        </w:rPr>
        <w:t>陆平</w:t>
      </w:r>
      <w:r>
        <w:rPr>
          <w:rFonts w:hint="eastAsia" w:ascii="宋体" w:hAnsi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0"/>
          <w:szCs w:val="20"/>
          <w:lang w:val="en-US" w:eastAsia="zh-CN"/>
        </w:rPr>
        <w:t>中国民航</w:t>
      </w:r>
      <w:r>
        <w:rPr>
          <w:rFonts w:hint="eastAsia" w:ascii="宋体" w:hAnsi="宋体" w:eastAsia="宋体"/>
          <w:color w:val="000000"/>
          <w:sz w:val="20"/>
          <w:szCs w:val="20"/>
          <w:lang w:eastAsia="zh-CN"/>
        </w:rPr>
        <w:t>出版社</w:t>
      </w:r>
      <w:r>
        <w:rPr>
          <w:rFonts w:hint="eastAsia" w:ascii="宋体" w:hAnsi="宋体"/>
          <w:color w:val="000000"/>
          <w:sz w:val="20"/>
          <w:szCs w:val="20"/>
          <w:lang w:val="en-US" w:eastAsia="zh-CN"/>
        </w:rPr>
        <w:t xml:space="preserve"> 2005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 w:val="20"/>
          <w:szCs w:val="20"/>
        </w:rPr>
        <w:t>日语会话（1）2020077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  <w:lang w:val="en-US" w:eastAsia="zh-CN"/>
        </w:rPr>
        <w:t>设置本课程的目的是为了培养合格的国际化民航服务人才，只有解决了国际化人才短缺问题，我国的航空公司才能增强国际竞争力和影响力。</w:t>
      </w:r>
    </w:p>
    <w:p>
      <w:pPr>
        <w:snapToGrid w:val="0"/>
        <w:spacing w:line="288" w:lineRule="auto"/>
        <w:ind w:firstLine="40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0"/>
          <w:szCs w:val="20"/>
          <w:shd w:val="clear" w:fill="FFFFFF"/>
          <w:lang w:val="en-US" w:eastAsia="zh-CN"/>
        </w:rPr>
        <w:t>教学任务分为三个部分。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0"/>
          <w:szCs w:val="20"/>
          <w:shd w:val="clear" w:fill="FFFFFF"/>
        </w:rPr>
        <w:t>第一部分为航班时刻表的英语表达法，以及城市、机场、航空公司、机型的英语表达法；第二部分，主要训练机舱服务人员面对常规及特殊情况时运用英语的能力；第三部分为英语广播词，主要分为国内广播词、国际广播词、特殊情况广播词、紧急情况广播词和机场广播词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0"/>
          <w:szCs w:val="20"/>
          <w:shd w:val="clear" w:fill="FFFFFF"/>
          <w:lang w:eastAsia="zh-CN"/>
        </w:rPr>
        <w:t>。</w:t>
      </w:r>
    </w:p>
    <w:p>
      <w:pPr>
        <w:snapToGrid w:val="0"/>
        <w:spacing w:line="288" w:lineRule="auto"/>
        <w:ind w:firstLine="40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0"/>
          <w:szCs w:val="20"/>
          <w:shd w:val="clear" w:fill="FFFFFF"/>
          <w:lang w:val="en-US" w:eastAsia="zh-CN"/>
        </w:rPr>
        <w:t>通过本课程的学习，学生能够了解民航实务工作情景，提高语言交际能力，适应未来的工作需要。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>
        <w:rPr>
          <w:rFonts w:hint="eastAsia"/>
          <w:color w:val="000000"/>
          <w:sz w:val="20"/>
          <w:szCs w:val="20"/>
          <w:lang w:val="en-US" w:eastAsia="zh-CN"/>
        </w:rPr>
        <w:t>适合全日制普通高等学校本科学历教育空中乘务、航空服务与管理等专业学生</w:t>
      </w:r>
      <w:r>
        <w:rPr>
          <w:rFonts w:hint="eastAsia"/>
          <w:color w:val="000000"/>
          <w:sz w:val="20"/>
          <w:szCs w:val="20"/>
        </w:rPr>
        <w:t>学习或者选修，适合本科</w:t>
      </w:r>
      <w:r>
        <w:rPr>
          <w:rFonts w:hint="eastAsia"/>
          <w:color w:val="000000"/>
          <w:sz w:val="20"/>
          <w:szCs w:val="20"/>
          <w:lang w:val="en-US" w:eastAsia="zh-CN"/>
        </w:rPr>
        <w:t>二年级</w:t>
      </w:r>
      <w:r>
        <w:rPr>
          <w:rFonts w:hint="eastAsia"/>
          <w:color w:val="000000"/>
          <w:sz w:val="20"/>
          <w:szCs w:val="20"/>
        </w:rPr>
        <w:t>学生学习。通过学习本课程，应使得学生</w:t>
      </w:r>
      <w:r>
        <w:rPr>
          <w:rFonts w:hint="eastAsia"/>
          <w:color w:val="000000"/>
          <w:sz w:val="20"/>
          <w:szCs w:val="20"/>
          <w:lang w:val="en-US" w:eastAsia="zh-CN"/>
        </w:rPr>
        <w:t>掌握相关的专业知识，从而达到在真实的交际环境中完成交际任务的最终目的</w:t>
      </w:r>
      <w:r>
        <w:rPr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803" w:type="dxa"/>
            <w:vAlign w:val="center"/>
          </w:tcPr>
          <w:p>
            <w:pPr>
              <w:rPr>
                <w:rFonts w:hint="eastAsia" w:ascii="宋体" w:hAnsi="宋体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教师对专业知识进行讲解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，使学生了解行业术语以及专有名词的英语表达方式。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在课堂中模拟民航实务工作情景，学生熟记机舱服务人员英语广播标准用语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eastAsia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采用对话训练的形式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，学生能够灵活应用机上服务的英语常规用语。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通过案例分析，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对机上服务过程中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出现的各种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特殊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情况具有一定的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应变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能力和解决问题的能力。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通过本门课程的学习，学生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自身的素质得到一定的提升，拥有一定的对外交往的实际能力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具备扎实、娴熟的英语功底，能够与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国际乘客进行交流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培养较好的心理调控素质；增强与各种人沟通的信心。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树立公平、公正的良好谈判人格及沉稳、坚定的职业风范。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color w:val="000000" w:themeColor="text1"/>
          <w:sz w:val="24"/>
          <w:highlight w:val="yellow"/>
        </w:rPr>
      </w:pPr>
      <w:r>
        <w:rPr>
          <w:rFonts w:hint="eastAsia" w:ascii="黑体" w:hAnsi="宋体" w:eastAsia="黑体"/>
          <w:color w:val="000000" w:themeColor="text1"/>
          <w:sz w:val="24"/>
          <w:highlight w:val="yellow"/>
        </w:rPr>
        <w:t>五、</w:t>
      </w:r>
      <w:r>
        <w:rPr>
          <w:rFonts w:ascii="黑体" w:hAnsi="宋体" w:eastAsia="黑体"/>
          <w:color w:val="000000" w:themeColor="text1"/>
          <w:sz w:val="24"/>
          <w:highlight w:val="yellow"/>
        </w:rPr>
        <w:t>课程</w:t>
      </w:r>
      <w:r>
        <w:rPr>
          <w:rFonts w:hint="eastAsia" w:ascii="黑体" w:hAnsi="宋体" w:eastAsia="黑体"/>
          <w:color w:val="000000" w:themeColor="text1"/>
          <w:sz w:val="24"/>
          <w:highlight w:val="yellow"/>
        </w:rPr>
        <w:t>目标/课程预期学习成果</w:t>
      </w:r>
      <w:r>
        <w:rPr>
          <w:rFonts w:ascii="黑体" w:hAnsi="宋体" w:eastAsia="黑体"/>
          <w:color w:val="000000" w:themeColor="text1"/>
          <w:sz w:val="24"/>
          <w:highlight w:val="yellow"/>
        </w:rPr>
        <w:t>（必填项）（</w:t>
      </w:r>
      <w:r>
        <w:rPr>
          <w:rFonts w:hint="eastAsia" w:ascii="黑体" w:hAnsi="宋体" w:eastAsia="黑体"/>
          <w:color w:val="000000" w:themeColor="text1"/>
          <w:sz w:val="24"/>
          <w:highlight w:val="yellow"/>
        </w:rPr>
        <w:t>预期学习成果</w:t>
      </w:r>
      <w:r>
        <w:rPr>
          <w:rFonts w:ascii="黑体" w:hAnsi="宋体" w:eastAsia="黑体"/>
          <w:color w:val="000000" w:themeColor="text1"/>
          <w:sz w:val="24"/>
          <w:highlight w:val="yellow"/>
        </w:rPr>
        <w:t>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02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掌握专业知识，了解相关术语的英语表达法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任课老师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讲解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专业知识，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介绍相关术语的英语表示法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课堂问答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熟悉机上服务常规用语。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情景模拟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课堂展示，表演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具有处理特殊情况的应变能力。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情景模拟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课堂展示，表演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L0812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灵活应用各种场景所匹配的英语广播词。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老师通过创设模拟的情境进行示范、并组织学生进行演练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模拟真实情景进行角色扮演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right="26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>
        <w:rPr>
          <w:rFonts w:hint="eastAsia" w:asciiTheme="minorEastAsia" w:hAnsiTheme="minorEastAsia" w:eastAsiaTheme="minorEastAsia"/>
          <w:sz w:val="20"/>
          <w:szCs w:val="20"/>
        </w:rPr>
        <w:t>本课程2个学分，在一个学期内开设，每周2学时，共计32学时，其中20课时用于讲授，12课时用于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课堂练习</w:t>
      </w:r>
      <w:r>
        <w:rPr>
          <w:rFonts w:hint="eastAsia" w:asciiTheme="minorEastAsia" w:hAnsiTheme="minorEastAsia" w:eastAsiaTheme="minorEastAsia"/>
          <w:sz w:val="20"/>
          <w:szCs w:val="20"/>
        </w:rPr>
        <w:t>。每个单元2到3课时，讲解分析与操练交替进行。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154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章序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单元名称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重点内容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第1章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In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troductions to a Flight Schedule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Professional knowledge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第2章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Service on board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Dialogue 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第3章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Dealing with Special Situation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Case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第4章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Communication with Passengers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Oral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第5章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Domestic Cabin Announcements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Useful 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第6章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International Cabin Announcements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International conventional 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第7章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Special Occasions Announcements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Special occasions introduction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第8章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Emergency Announcements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Situation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04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第9章</w:t>
            </w:r>
          </w:p>
        </w:tc>
        <w:tc>
          <w:tcPr>
            <w:tcW w:w="3154" w:type="dxa"/>
          </w:tcPr>
          <w:p>
            <w:pPr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Airport Announcements</w:t>
            </w:r>
          </w:p>
        </w:tc>
        <w:tc>
          <w:tcPr>
            <w:tcW w:w="3864" w:type="dxa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Operating process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12"/>
        <w:gridCol w:w="2848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机上服务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情景模拟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left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与乘客沟通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情景模拟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3240"/>
        <w:gridCol w:w="1260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bookmarkStart w:id="1" w:name="_GoBack"/>
      <w:bookmarkEnd w:id="1"/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line="288" w:lineRule="auto"/>
        <w:rPr>
          <w:rFonts w:hint="eastAsia"/>
          <w:sz w:val="28"/>
          <w:szCs w:val="28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撰写人：徐佳琦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>
      <w:pPr>
        <w:snapToGrid w:val="0"/>
        <w:spacing w:line="288" w:lineRule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082BFA"/>
    <w:rsid w:val="001072BC"/>
    <w:rsid w:val="00256B39"/>
    <w:rsid w:val="0026033C"/>
    <w:rsid w:val="002E3721"/>
    <w:rsid w:val="00313BBA"/>
    <w:rsid w:val="0032602E"/>
    <w:rsid w:val="003367AE"/>
    <w:rsid w:val="003B06FA"/>
    <w:rsid w:val="003B1258"/>
    <w:rsid w:val="004100B0"/>
    <w:rsid w:val="005467DC"/>
    <w:rsid w:val="00553D03"/>
    <w:rsid w:val="005B2B6D"/>
    <w:rsid w:val="005B4B4E"/>
    <w:rsid w:val="00624FE1"/>
    <w:rsid w:val="006C78AE"/>
    <w:rsid w:val="007208D6"/>
    <w:rsid w:val="008B397C"/>
    <w:rsid w:val="008B47F4"/>
    <w:rsid w:val="00900019"/>
    <w:rsid w:val="0099063E"/>
    <w:rsid w:val="009D14E6"/>
    <w:rsid w:val="00A769B1"/>
    <w:rsid w:val="00A837D5"/>
    <w:rsid w:val="00AB05AD"/>
    <w:rsid w:val="00AC4C45"/>
    <w:rsid w:val="00AE122B"/>
    <w:rsid w:val="00B46F21"/>
    <w:rsid w:val="00B511A5"/>
    <w:rsid w:val="00B736A7"/>
    <w:rsid w:val="00B7651F"/>
    <w:rsid w:val="00C56E09"/>
    <w:rsid w:val="00CF096B"/>
    <w:rsid w:val="00E16D30"/>
    <w:rsid w:val="00E17BC9"/>
    <w:rsid w:val="00E33169"/>
    <w:rsid w:val="00E70904"/>
    <w:rsid w:val="00EF44B1"/>
    <w:rsid w:val="00F35AA0"/>
    <w:rsid w:val="016E63C2"/>
    <w:rsid w:val="024B0C39"/>
    <w:rsid w:val="035C1278"/>
    <w:rsid w:val="0777147E"/>
    <w:rsid w:val="09680BBB"/>
    <w:rsid w:val="0A8128A6"/>
    <w:rsid w:val="0BF32A1B"/>
    <w:rsid w:val="10BD2C22"/>
    <w:rsid w:val="1252351C"/>
    <w:rsid w:val="1DAA6390"/>
    <w:rsid w:val="1E681D9D"/>
    <w:rsid w:val="22987C80"/>
    <w:rsid w:val="24192CCC"/>
    <w:rsid w:val="268B2664"/>
    <w:rsid w:val="30243ECE"/>
    <w:rsid w:val="39A66CD4"/>
    <w:rsid w:val="3CD52CE1"/>
    <w:rsid w:val="410F2E6A"/>
    <w:rsid w:val="4430136C"/>
    <w:rsid w:val="4AB0382B"/>
    <w:rsid w:val="50B137A7"/>
    <w:rsid w:val="568D7810"/>
    <w:rsid w:val="569868B5"/>
    <w:rsid w:val="5AF70B84"/>
    <w:rsid w:val="611F6817"/>
    <w:rsid w:val="66CA1754"/>
    <w:rsid w:val="6A8B1C53"/>
    <w:rsid w:val="6F1E65D4"/>
    <w:rsid w:val="6F266C86"/>
    <w:rsid w:val="6F5042C2"/>
    <w:rsid w:val="73FE4A9B"/>
    <w:rsid w:val="74316312"/>
    <w:rsid w:val="780F13C8"/>
    <w:rsid w:val="787F2ABB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497</Words>
  <Characters>2834</Characters>
  <Lines>23</Lines>
  <Paragraphs>6</Paragraphs>
  <TotalTime>10</TotalTime>
  <ScaleCrop>false</ScaleCrop>
  <LinksUpToDate>false</LinksUpToDate>
  <CharactersWithSpaces>3325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2019-03-05T07:02:12Z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