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highlight w:val="none"/>
        </w:rPr>
      </w:pPr>
      <w:r>
        <w:pict>
          <v:shape id="文本框 1" o:spid="_x0000_s1027"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r>
        <w:rPr>
          <w:rFonts w:hint="eastAsia"/>
          <w:b/>
          <w:sz w:val="28"/>
          <w:szCs w:val="30"/>
          <w:highlight w:val="none"/>
          <w:lang w:val="en-US" w:eastAsia="zh-CN"/>
        </w:rPr>
        <w:t>跨文化交际</w:t>
      </w:r>
    </w:p>
    <w:p>
      <w:pPr>
        <w:shd w:val="clear" w:color="auto" w:fill="F5F5F5"/>
        <w:jc w:val="center"/>
        <w:textAlignment w:val="top"/>
        <w:rPr>
          <w:rFonts w:ascii="Arial" w:hAnsi="Arial" w:cs="Arial"/>
          <w:color w:val="888888"/>
          <w:kern w:val="0"/>
          <w:sz w:val="20"/>
          <w:szCs w:val="20"/>
          <w:highlight w:val="none"/>
        </w:rPr>
      </w:pPr>
      <w:r>
        <w:rPr>
          <w:rFonts w:hint="eastAsia"/>
          <w:b/>
          <w:sz w:val="28"/>
          <w:szCs w:val="30"/>
          <w:highlight w:val="none"/>
          <w:lang w:val="en-US" w:eastAsia="zh-CN"/>
        </w:rPr>
        <w:t>Intercultural Communication</w:t>
      </w:r>
      <w:bookmarkStart w:id="0" w:name="a2"/>
      <w:bookmarkEnd w:id="0"/>
    </w:p>
    <w:p>
      <w:pPr>
        <w:spacing w:beforeLines="50" w:afterLines="50" w:line="288" w:lineRule="auto"/>
        <w:ind w:firstLine="360" w:firstLineChars="150"/>
        <w:rPr>
          <w:b/>
          <w:color w:val="008080"/>
          <w:sz w:val="30"/>
          <w:szCs w:val="30"/>
          <w:highlight w:val="none"/>
        </w:rPr>
      </w:pPr>
      <w:r>
        <w:rPr>
          <w:rFonts w:ascii="黑体" w:hAnsi="宋体" w:eastAsia="黑体"/>
          <w:sz w:val="24"/>
          <w:highlight w:val="none"/>
        </w:rPr>
        <w:t>一</w:t>
      </w:r>
      <w:r>
        <w:rPr>
          <w:rFonts w:hint="eastAsia" w:ascii="黑体" w:hAnsi="宋体" w:eastAsia="黑体"/>
          <w:sz w:val="24"/>
          <w:highlight w:val="none"/>
        </w:rPr>
        <w:t>、</w:t>
      </w:r>
      <w:r>
        <w:rPr>
          <w:rFonts w:ascii="黑体" w:hAnsi="宋体" w:eastAsia="黑体"/>
          <w:sz w:val="24"/>
          <w:highlight w:val="none"/>
        </w:rPr>
        <w:t>基本信息</w:t>
      </w:r>
    </w:p>
    <w:p>
      <w:pPr>
        <w:snapToGrid w:val="0"/>
        <w:spacing w:line="288" w:lineRule="auto"/>
        <w:ind w:firstLine="394" w:firstLineChars="196"/>
        <w:rPr>
          <w:color w:val="000000"/>
          <w:sz w:val="20"/>
          <w:szCs w:val="20"/>
          <w:highlight w:val="none"/>
        </w:rPr>
      </w:pPr>
      <w:r>
        <w:rPr>
          <w:b/>
          <w:bCs/>
          <w:color w:val="000000"/>
          <w:sz w:val="20"/>
          <w:szCs w:val="20"/>
          <w:highlight w:val="none"/>
        </w:rPr>
        <w:t>课程代码：</w:t>
      </w:r>
      <w:r>
        <w:rPr>
          <w:rFonts w:hint="eastAsia"/>
          <w:color w:val="000000"/>
          <w:sz w:val="20"/>
          <w:szCs w:val="20"/>
          <w:highlight w:val="none"/>
          <w:lang w:val="en-US" w:eastAsia="zh-CN"/>
        </w:rPr>
        <w:t>0020165</w:t>
      </w:r>
    </w:p>
    <w:p>
      <w:pPr>
        <w:snapToGrid w:val="0"/>
        <w:spacing w:line="288" w:lineRule="auto"/>
        <w:ind w:firstLine="394" w:firstLineChars="196"/>
        <w:rPr>
          <w:color w:val="000000"/>
          <w:szCs w:val="21"/>
          <w:highlight w:val="none"/>
        </w:rPr>
      </w:pPr>
      <w:r>
        <w:rPr>
          <w:b/>
          <w:bCs/>
          <w:color w:val="000000"/>
          <w:sz w:val="20"/>
          <w:szCs w:val="20"/>
          <w:highlight w:val="none"/>
        </w:rPr>
        <w:t>课程学分：</w:t>
      </w:r>
      <w:r>
        <w:rPr>
          <w:rFonts w:hint="eastAsia"/>
          <w:color w:val="000000"/>
          <w:sz w:val="20"/>
          <w:szCs w:val="20"/>
          <w:highlight w:val="none"/>
          <w:lang w:val="en-US" w:eastAsia="zh-CN"/>
        </w:rPr>
        <w:t>2</w:t>
      </w:r>
    </w:p>
    <w:p>
      <w:pPr>
        <w:snapToGrid w:val="0"/>
        <w:spacing w:line="288" w:lineRule="auto"/>
        <w:ind w:firstLine="394" w:firstLineChars="196"/>
        <w:rPr>
          <w:color w:val="000000"/>
          <w:szCs w:val="21"/>
          <w:highlight w:val="none"/>
        </w:rPr>
      </w:pPr>
      <w:r>
        <w:rPr>
          <w:b/>
          <w:bCs/>
          <w:color w:val="000000"/>
          <w:sz w:val="20"/>
          <w:szCs w:val="20"/>
          <w:highlight w:val="none"/>
        </w:rPr>
        <w:t>面向专业：</w:t>
      </w:r>
      <w:r>
        <w:rPr>
          <w:rFonts w:hint="eastAsia"/>
          <w:color w:val="000000"/>
          <w:sz w:val="20"/>
          <w:szCs w:val="20"/>
          <w:highlight w:val="none"/>
          <w:lang w:val="en-US" w:eastAsia="zh-CN"/>
        </w:rPr>
        <w:t>商务英语</w:t>
      </w:r>
    </w:p>
    <w:p>
      <w:pPr>
        <w:snapToGrid w:val="0"/>
        <w:spacing w:line="288" w:lineRule="auto"/>
        <w:ind w:firstLine="394" w:firstLineChars="196"/>
        <w:rPr>
          <w:color w:val="000000"/>
          <w:sz w:val="20"/>
          <w:szCs w:val="20"/>
          <w:highlight w:val="none"/>
        </w:rPr>
      </w:pPr>
      <w:r>
        <w:rPr>
          <w:b/>
          <w:bCs/>
          <w:color w:val="000000"/>
          <w:sz w:val="20"/>
          <w:szCs w:val="20"/>
          <w:highlight w:val="none"/>
        </w:rPr>
        <w:t>课程性质：</w:t>
      </w:r>
      <w:r>
        <w:rPr>
          <w:rFonts w:hint="eastAsia"/>
          <w:color w:val="000000"/>
          <w:sz w:val="20"/>
          <w:szCs w:val="20"/>
          <w:highlight w:val="none"/>
          <w:lang w:val="en-US" w:eastAsia="zh-CN"/>
        </w:rPr>
        <w:t>理论教学课</w:t>
      </w:r>
    </w:p>
    <w:p>
      <w:pPr>
        <w:snapToGrid w:val="0"/>
        <w:spacing w:line="288" w:lineRule="auto"/>
        <w:ind w:firstLine="394" w:firstLineChars="196"/>
        <w:rPr>
          <w:rFonts w:hint="eastAsia" w:eastAsia="宋体"/>
          <w:b/>
          <w:bCs/>
          <w:color w:val="000000"/>
          <w:szCs w:val="21"/>
          <w:highlight w:val="none"/>
          <w:lang w:val="en-US" w:eastAsia="zh-CN"/>
        </w:rPr>
      </w:pPr>
      <w:r>
        <w:rPr>
          <w:b/>
          <w:bCs/>
          <w:color w:val="000000"/>
          <w:sz w:val="20"/>
          <w:szCs w:val="20"/>
          <w:highlight w:val="none"/>
        </w:rPr>
        <w:t>开课院系：</w:t>
      </w:r>
      <w:r>
        <w:rPr>
          <w:rFonts w:hint="eastAsia"/>
          <w:b w:val="0"/>
          <w:bCs w:val="0"/>
          <w:color w:val="000000"/>
          <w:sz w:val="20"/>
          <w:szCs w:val="20"/>
          <w:highlight w:val="none"/>
          <w:lang w:val="en-US" w:eastAsia="zh-CN"/>
        </w:rPr>
        <w:t>外国语学院英语系</w:t>
      </w:r>
    </w:p>
    <w:p>
      <w:pPr>
        <w:snapToGrid w:val="0"/>
        <w:spacing w:line="288" w:lineRule="auto"/>
        <w:ind w:firstLine="394" w:firstLineChars="196"/>
        <w:rPr>
          <w:color w:val="000000"/>
          <w:sz w:val="20"/>
          <w:szCs w:val="20"/>
          <w:highlight w:val="none"/>
        </w:rPr>
      </w:pPr>
      <w:r>
        <w:rPr>
          <w:b/>
          <w:bCs/>
          <w:color w:val="000000"/>
          <w:sz w:val="20"/>
          <w:szCs w:val="20"/>
          <w:highlight w:val="none"/>
        </w:rPr>
        <w:t>使用教材：</w:t>
      </w:r>
    </w:p>
    <w:p>
      <w:pPr>
        <w:snapToGrid w:val="0"/>
        <w:spacing w:line="288" w:lineRule="auto"/>
        <w:ind w:firstLine="792" w:firstLineChars="396"/>
        <w:rPr>
          <w:color w:val="000000"/>
          <w:szCs w:val="21"/>
          <w:highlight w:val="none"/>
        </w:rPr>
      </w:pPr>
      <w:r>
        <w:rPr>
          <w:color w:val="000000"/>
          <w:sz w:val="20"/>
          <w:szCs w:val="20"/>
          <w:highlight w:val="none"/>
        </w:rPr>
        <w:t>教材</w:t>
      </w:r>
      <w:r>
        <w:rPr>
          <w:rFonts w:hint="eastAsia"/>
          <w:color w:val="000000"/>
          <w:sz w:val="20"/>
          <w:szCs w:val="20"/>
          <w:highlight w:val="none"/>
          <w:lang w:eastAsia="zh-CN"/>
        </w:rPr>
        <w:t>：</w:t>
      </w:r>
      <w:r>
        <w:rPr>
          <w:rFonts w:hAnsi="宋体"/>
          <w:bCs/>
          <w:color w:val="000000"/>
          <w:sz w:val="20"/>
          <w:szCs w:val="20"/>
          <w:highlight w:val="none"/>
        </w:rPr>
        <w:t>《大学英语跨文化交际教程》，严明主编，清华大学出版社</w:t>
      </w:r>
      <w:r>
        <w:rPr>
          <w:bCs/>
          <w:color w:val="000000"/>
          <w:sz w:val="20"/>
          <w:szCs w:val="20"/>
          <w:highlight w:val="none"/>
        </w:rPr>
        <w:t>, 2009年9月</w:t>
      </w:r>
    </w:p>
    <w:p>
      <w:pPr>
        <w:tabs>
          <w:tab w:val="left" w:pos="532"/>
        </w:tabs>
        <w:spacing w:line="340" w:lineRule="exact"/>
        <w:rPr>
          <w:rFonts w:hint="eastAsia"/>
          <w:color w:val="000000"/>
          <w:sz w:val="20"/>
          <w:szCs w:val="20"/>
          <w:highlight w:val="none"/>
          <w:lang w:eastAsia="zh-CN"/>
        </w:rPr>
      </w:pPr>
      <w:r>
        <w:rPr>
          <w:rFonts w:hint="eastAsia"/>
          <w:color w:val="000000"/>
          <w:sz w:val="20"/>
          <w:szCs w:val="20"/>
          <w:highlight w:val="none"/>
          <w:lang w:val="en-US" w:eastAsia="zh-CN"/>
        </w:rPr>
        <w:tab/>
      </w:r>
      <w:r>
        <w:rPr>
          <w:rFonts w:hint="eastAsia"/>
          <w:color w:val="000000"/>
          <w:sz w:val="20"/>
          <w:szCs w:val="20"/>
          <w:highlight w:val="none"/>
          <w:lang w:val="en-US" w:eastAsia="zh-CN"/>
        </w:rPr>
        <w:t xml:space="preserve">  </w:t>
      </w:r>
      <w:r>
        <w:rPr>
          <w:color w:val="000000"/>
          <w:sz w:val="20"/>
          <w:szCs w:val="20"/>
          <w:highlight w:val="none"/>
        </w:rPr>
        <w:t>参考</w:t>
      </w:r>
      <w:r>
        <w:rPr>
          <w:rFonts w:hint="eastAsia"/>
          <w:color w:val="000000"/>
          <w:sz w:val="20"/>
          <w:szCs w:val="20"/>
          <w:highlight w:val="none"/>
        </w:rPr>
        <w:t>书目</w:t>
      </w:r>
      <w:r>
        <w:rPr>
          <w:rFonts w:hint="eastAsia"/>
          <w:color w:val="000000"/>
          <w:sz w:val="20"/>
          <w:szCs w:val="20"/>
          <w:highlight w:val="none"/>
          <w:lang w:eastAsia="zh-CN"/>
        </w:rPr>
        <w:t>：</w:t>
      </w:r>
      <w:r>
        <w:rPr>
          <w:rFonts w:hint="eastAsia"/>
          <w:color w:val="000000"/>
          <w:sz w:val="20"/>
          <w:szCs w:val="20"/>
          <w:highlight w:val="none"/>
          <w:lang w:eastAsia="zh-CN"/>
        </w:rPr>
        <w:t>《跨文化交际学概论》，胡文仲著， 外语教学与研究出版社， 2015重印版；</w:t>
      </w:r>
    </w:p>
    <w:p>
      <w:pPr>
        <w:snapToGrid w:val="0"/>
        <w:spacing w:line="288" w:lineRule="auto"/>
        <w:ind w:left="1260" w:leftChars="0" w:firstLine="420" w:firstLineChars="0"/>
        <w:rPr>
          <w:rFonts w:hint="eastAsia"/>
          <w:bCs/>
          <w:color w:val="000000"/>
          <w:sz w:val="20"/>
          <w:szCs w:val="20"/>
          <w:highlight w:val="none"/>
        </w:rPr>
      </w:pPr>
      <w:r>
        <w:rPr>
          <w:rFonts w:hint="eastAsia"/>
          <w:bCs/>
          <w:color w:val="000000"/>
          <w:sz w:val="20"/>
          <w:szCs w:val="20"/>
          <w:highlight w:val="none"/>
        </w:rPr>
        <w:t>《</w:t>
      </w:r>
      <w:r>
        <w:rPr>
          <w:bCs/>
          <w:color w:val="000000"/>
          <w:sz w:val="20"/>
          <w:szCs w:val="20"/>
          <w:highlight w:val="none"/>
        </w:rPr>
        <w:t>跨文化交际学基础</w:t>
      </w:r>
      <w:r>
        <w:rPr>
          <w:rFonts w:hint="eastAsia"/>
          <w:bCs/>
          <w:color w:val="000000"/>
          <w:sz w:val="20"/>
          <w:szCs w:val="20"/>
          <w:highlight w:val="none"/>
        </w:rPr>
        <w:t>》，</w:t>
      </w:r>
      <w:r>
        <w:rPr>
          <w:highlight w:val="none"/>
        </w:rPr>
        <w:fldChar w:fldCharType="begin"/>
      </w:r>
      <w:r>
        <w:rPr>
          <w:highlight w:val="none"/>
        </w:rPr>
        <w:instrText xml:space="preserve"> HYPERLINK "https://book.douban.com/search/William%20J.Starosta" </w:instrText>
      </w:r>
      <w:r>
        <w:rPr>
          <w:highlight w:val="none"/>
        </w:rPr>
        <w:fldChar w:fldCharType="separate"/>
      </w:r>
      <w:r>
        <w:rPr>
          <w:bCs/>
          <w:color w:val="000000"/>
          <w:sz w:val="20"/>
          <w:szCs w:val="20"/>
          <w:highlight w:val="none"/>
        </w:rPr>
        <w:t>William J.Starosta</w:t>
      </w:r>
      <w:r>
        <w:rPr>
          <w:bCs/>
          <w:color w:val="000000"/>
          <w:sz w:val="20"/>
          <w:szCs w:val="20"/>
          <w:highlight w:val="none"/>
        </w:rPr>
        <w:fldChar w:fldCharType="end"/>
      </w:r>
      <w:r>
        <w:rPr>
          <w:bCs/>
          <w:color w:val="000000"/>
          <w:sz w:val="20"/>
          <w:szCs w:val="20"/>
          <w:highlight w:val="none"/>
        </w:rPr>
        <w:t> </w:t>
      </w:r>
      <w:r>
        <w:rPr>
          <w:rFonts w:hint="eastAsia" w:hAnsi="宋体"/>
          <w:bCs/>
          <w:color w:val="000000"/>
          <w:sz w:val="20"/>
          <w:szCs w:val="20"/>
          <w:highlight w:val="none"/>
        </w:rPr>
        <w:t>主编</w:t>
      </w:r>
      <w:r>
        <w:rPr>
          <w:bCs/>
          <w:color w:val="000000"/>
          <w:sz w:val="20"/>
          <w:szCs w:val="20"/>
          <w:highlight w:val="none"/>
        </w:rPr>
        <w:t>，上海外语教育出版社</w:t>
      </w:r>
      <w:r>
        <w:rPr>
          <w:rFonts w:hint="eastAsia"/>
          <w:bCs/>
          <w:color w:val="000000"/>
          <w:sz w:val="20"/>
          <w:szCs w:val="20"/>
          <w:highlight w:val="none"/>
        </w:rPr>
        <w:t>，2007.</w:t>
      </w:r>
    </w:p>
    <w:p>
      <w:pPr>
        <w:snapToGrid w:val="0"/>
        <w:spacing w:line="288" w:lineRule="auto"/>
        <w:ind w:left="718" w:leftChars="342" w:firstLine="932" w:firstLineChars="466"/>
        <w:rPr>
          <w:color w:val="000000"/>
          <w:szCs w:val="21"/>
          <w:highlight w:val="none"/>
        </w:rPr>
      </w:pPr>
      <w:r>
        <w:rPr>
          <w:rFonts w:hint="eastAsia"/>
          <w:color w:val="000000"/>
          <w:sz w:val="20"/>
          <w:szCs w:val="20"/>
          <w:highlight w:val="none"/>
        </w:rPr>
        <w:t>《跨文化交际视听说》</w:t>
      </w:r>
      <w:r>
        <w:rPr>
          <w:rFonts w:hint="eastAsia" w:hAnsi="宋体"/>
          <w:bCs/>
          <w:color w:val="000000"/>
          <w:sz w:val="20"/>
          <w:szCs w:val="20"/>
          <w:highlight w:val="none"/>
        </w:rPr>
        <w:t>（第1版）</w:t>
      </w:r>
      <w:r>
        <w:rPr>
          <w:rFonts w:hint="eastAsia"/>
          <w:color w:val="000000"/>
          <w:sz w:val="20"/>
          <w:szCs w:val="20"/>
          <w:highlight w:val="none"/>
        </w:rPr>
        <w:t>，樊葳葳主编，高等教育出版社，2009.</w:t>
      </w:r>
    </w:p>
    <w:p>
      <w:pPr>
        <w:snapToGrid w:val="0"/>
        <w:spacing w:line="288" w:lineRule="auto"/>
        <w:ind w:firstLine="394" w:firstLineChars="196"/>
        <w:rPr>
          <w:rFonts w:hint="eastAsia"/>
          <w:b/>
          <w:bCs/>
          <w:color w:val="000000"/>
          <w:sz w:val="20"/>
          <w:szCs w:val="20"/>
          <w:highlight w:val="none"/>
        </w:rPr>
      </w:pPr>
      <w:r>
        <w:rPr>
          <w:rFonts w:hint="eastAsia"/>
          <w:b/>
          <w:bCs/>
          <w:color w:val="000000"/>
          <w:sz w:val="20"/>
          <w:szCs w:val="20"/>
          <w:highlight w:val="none"/>
        </w:rPr>
        <w:t>课程网站网址：</w:t>
      </w:r>
    </w:p>
    <w:p>
      <w:pPr>
        <w:snapToGrid w:val="0"/>
        <w:spacing w:line="288" w:lineRule="auto"/>
        <w:ind w:firstLine="392" w:firstLineChars="196"/>
        <w:rPr>
          <w:rFonts w:hint="eastAsia"/>
          <w:b w:val="0"/>
          <w:bCs w:val="0"/>
          <w:color w:val="000000"/>
          <w:sz w:val="20"/>
          <w:szCs w:val="20"/>
          <w:highlight w:val="none"/>
        </w:rPr>
      </w:pPr>
      <w:r>
        <w:rPr>
          <w:rFonts w:hint="eastAsia"/>
          <w:b w:val="0"/>
          <w:bCs w:val="0"/>
          <w:color w:val="000000"/>
          <w:sz w:val="20"/>
          <w:szCs w:val="20"/>
          <w:highlight w:val="none"/>
        </w:rPr>
        <w:t>https://elearning.gench.edu.cn:8443/webapps/discussionboard/do/conference?toggle_mode=edit&amp;action=list_forums&amp;course_id=_17413_1&amp;nav=discussion_board_entry&amp;mode=cpview</w:t>
      </w: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ind w:firstLine="394" w:firstLineChars="196"/>
        <w:textAlignment w:val="auto"/>
        <w:outlineLvl w:val="9"/>
        <w:rPr>
          <w:rFonts w:hint="eastAsia" w:eastAsia="宋体"/>
          <w:b w:val="0"/>
          <w:bCs w:val="0"/>
          <w:color w:val="000000"/>
          <w:sz w:val="20"/>
          <w:szCs w:val="20"/>
          <w:highlight w:val="none"/>
          <w:lang w:val="en-US" w:eastAsia="zh-CN"/>
        </w:rPr>
      </w:pPr>
      <w:r>
        <w:rPr>
          <w:b/>
          <w:bCs/>
          <w:color w:val="000000"/>
          <w:sz w:val="20"/>
          <w:szCs w:val="20"/>
          <w:highlight w:val="none"/>
        </w:rPr>
        <w:t>先修课程：</w:t>
      </w:r>
      <w:r>
        <w:rPr>
          <w:rFonts w:hint="eastAsia"/>
          <w:b w:val="0"/>
          <w:bCs w:val="0"/>
          <w:color w:val="000000"/>
          <w:sz w:val="20"/>
          <w:szCs w:val="20"/>
          <w:highlight w:val="none"/>
        </w:rPr>
        <w:t>《</w:t>
      </w:r>
      <w:r>
        <w:rPr>
          <w:rFonts w:hint="eastAsia"/>
          <w:b w:val="0"/>
          <w:bCs w:val="0"/>
          <w:color w:val="000000"/>
          <w:sz w:val="20"/>
          <w:szCs w:val="20"/>
          <w:highlight w:val="none"/>
          <w:lang w:val="en-US" w:eastAsia="zh-CN"/>
        </w:rPr>
        <w:t>综合</w:t>
      </w:r>
      <w:r>
        <w:rPr>
          <w:rFonts w:hint="eastAsia"/>
          <w:b w:val="0"/>
          <w:bCs w:val="0"/>
          <w:color w:val="000000"/>
          <w:sz w:val="20"/>
          <w:szCs w:val="20"/>
          <w:highlight w:val="none"/>
        </w:rPr>
        <w:t>英语</w:t>
      </w:r>
      <w:r>
        <w:rPr>
          <w:b w:val="0"/>
          <w:bCs w:val="0"/>
          <w:color w:val="000000"/>
          <w:sz w:val="20"/>
          <w:szCs w:val="20"/>
          <w:highlight w:val="none"/>
        </w:rPr>
        <w:t xml:space="preserve"> 1</w:t>
      </w:r>
      <w:r>
        <w:rPr>
          <w:rFonts w:hint="eastAsia"/>
          <w:b w:val="0"/>
          <w:bCs w:val="0"/>
          <w:color w:val="000000"/>
          <w:sz w:val="20"/>
          <w:szCs w:val="20"/>
          <w:highlight w:val="none"/>
        </w:rPr>
        <w:t>》</w:t>
      </w:r>
      <w:r>
        <w:rPr>
          <w:rFonts w:hint="eastAsia"/>
          <w:b w:val="0"/>
          <w:bCs w:val="0"/>
          <w:color w:val="000000"/>
          <w:sz w:val="20"/>
          <w:szCs w:val="20"/>
          <w:highlight w:val="none"/>
          <w:lang w:val="en-US" w:eastAsia="zh-CN"/>
        </w:rPr>
        <w:t>0</w:t>
      </w:r>
      <w:r>
        <w:rPr>
          <w:b w:val="0"/>
          <w:bCs w:val="0"/>
          <w:color w:val="000000"/>
          <w:sz w:val="20"/>
          <w:szCs w:val="20"/>
          <w:highlight w:val="none"/>
        </w:rPr>
        <w:t>020</w:t>
      </w:r>
      <w:r>
        <w:rPr>
          <w:rFonts w:hint="eastAsia"/>
          <w:b w:val="0"/>
          <w:bCs w:val="0"/>
          <w:color w:val="000000"/>
          <w:sz w:val="20"/>
          <w:szCs w:val="20"/>
          <w:highlight w:val="none"/>
          <w:lang w:val="en-US" w:eastAsia="zh-CN"/>
        </w:rPr>
        <w:t>139</w:t>
      </w:r>
      <w:r>
        <w:rPr>
          <w:rFonts w:hint="eastAsia"/>
          <w:b w:val="0"/>
          <w:bCs w:val="0"/>
          <w:color w:val="000000"/>
          <w:sz w:val="20"/>
          <w:szCs w:val="20"/>
          <w:highlight w:val="none"/>
        </w:rPr>
        <w:t>（</w:t>
      </w:r>
      <w:r>
        <w:rPr>
          <w:b w:val="0"/>
          <w:bCs w:val="0"/>
          <w:color w:val="000000"/>
          <w:sz w:val="20"/>
          <w:szCs w:val="20"/>
          <w:highlight w:val="none"/>
        </w:rPr>
        <w:t>6</w:t>
      </w:r>
      <w:r>
        <w:rPr>
          <w:rFonts w:hint="eastAsia"/>
          <w:b w:val="0"/>
          <w:bCs w:val="0"/>
          <w:color w:val="000000"/>
          <w:sz w:val="20"/>
          <w:szCs w:val="20"/>
          <w:highlight w:val="none"/>
        </w:rPr>
        <w:t>）；《</w:t>
      </w:r>
      <w:r>
        <w:rPr>
          <w:rFonts w:hint="eastAsia"/>
          <w:b w:val="0"/>
          <w:bCs w:val="0"/>
          <w:color w:val="000000"/>
          <w:sz w:val="20"/>
          <w:szCs w:val="20"/>
          <w:highlight w:val="none"/>
          <w:lang w:val="en-US" w:eastAsia="zh-CN"/>
        </w:rPr>
        <w:t>综合</w:t>
      </w:r>
      <w:r>
        <w:rPr>
          <w:rFonts w:hint="eastAsia"/>
          <w:b w:val="0"/>
          <w:bCs w:val="0"/>
          <w:color w:val="000000"/>
          <w:sz w:val="20"/>
          <w:szCs w:val="20"/>
          <w:highlight w:val="none"/>
        </w:rPr>
        <w:t>英语</w:t>
      </w:r>
      <w:r>
        <w:rPr>
          <w:b w:val="0"/>
          <w:bCs w:val="0"/>
          <w:color w:val="000000"/>
          <w:sz w:val="20"/>
          <w:szCs w:val="20"/>
          <w:highlight w:val="none"/>
        </w:rPr>
        <w:t xml:space="preserve"> 2</w:t>
      </w:r>
      <w:r>
        <w:rPr>
          <w:rFonts w:hint="eastAsia"/>
          <w:b w:val="0"/>
          <w:bCs w:val="0"/>
          <w:color w:val="000000"/>
          <w:sz w:val="20"/>
          <w:szCs w:val="20"/>
          <w:highlight w:val="none"/>
        </w:rPr>
        <w:t>》</w:t>
      </w:r>
      <w:r>
        <w:rPr>
          <w:rFonts w:hint="eastAsia"/>
          <w:b w:val="0"/>
          <w:bCs w:val="0"/>
          <w:color w:val="000000"/>
          <w:sz w:val="20"/>
          <w:szCs w:val="20"/>
          <w:highlight w:val="none"/>
          <w:lang w:val="en-US" w:eastAsia="zh-CN"/>
        </w:rPr>
        <w:t>0020140</w:t>
      </w:r>
      <w:r>
        <w:rPr>
          <w:rFonts w:hint="eastAsia"/>
          <w:b w:val="0"/>
          <w:bCs w:val="0"/>
          <w:color w:val="000000"/>
          <w:sz w:val="20"/>
          <w:szCs w:val="20"/>
          <w:highlight w:val="none"/>
        </w:rPr>
        <w:t>（</w:t>
      </w:r>
      <w:r>
        <w:rPr>
          <w:b w:val="0"/>
          <w:bCs w:val="0"/>
          <w:color w:val="000000"/>
          <w:sz w:val="20"/>
          <w:szCs w:val="20"/>
          <w:highlight w:val="none"/>
        </w:rPr>
        <w:t>6</w:t>
      </w:r>
      <w:r>
        <w:rPr>
          <w:rFonts w:hint="eastAsia"/>
          <w:b w:val="0"/>
          <w:bCs w:val="0"/>
          <w:color w:val="000000"/>
          <w:sz w:val="20"/>
          <w:szCs w:val="20"/>
          <w:highlight w:val="none"/>
        </w:rPr>
        <w:t>）；《</w:t>
      </w:r>
      <w:r>
        <w:rPr>
          <w:rFonts w:hint="eastAsia"/>
          <w:b w:val="0"/>
          <w:bCs w:val="0"/>
          <w:color w:val="000000"/>
          <w:sz w:val="20"/>
          <w:szCs w:val="20"/>
          <w:highlight w:val="none"/>
          <w:lang w:val="en-US" w:eastAsia="zh-CN"/>
        </w:rPr>
        <w:t>综合</w:t>
      </w:r>
      <w:r>
        <w:rPr>
          <w:rFonts w:hint="eastAsia"/>
          <w:b w:val="0"/>
          <w:bCs w:val="0"/>
          <w:color w:val="000000"/>
          <w:sz w:val="20"/>
          <w:szCs w:val="20"/>
          <w:highlight w:val="none"/>
        </w:rPr>
        <w:t>英语</w:t>
      </w:r>
      <w:r>
        <w:rPr>
          <w:b w:val="0"/>
          <w:bCs w:val="0"/>
          <w:color w:val="000000"/>
          <w:sz w:val="20"/>
          <w:szCs w:val="20"/>
          <w:highlight w:val="none"/>
        </w:rPr>
        <w:t xml:space="preserve"> 3</w:t>
      </w:r>
      <w:r>
        <w:rPr>
          <w:rFonts w:hint="eastAsia"/>
          <w:b w:val="0"/>
          <w:bCs w:val="0"/>
          <w:color w:val="000000"/>
          <w:sz w:val="20"/>
          <w:szCs w:val="20"/>
          <w:highlight w:val="none"/>
        </w:rPr>
        <w:t>》</w:t>
      </w:r>
      <w:r>
        <w:rPr>
          <w:rFonts w:hint="eastAsia"/>
          <w:b w:val="0"/>
          <w:bCs w:val="0"/>
          <w:color w:val="000000"/>
          <w:sz w:val="20"/>
          <w:szCs w:val="20"/>
          <w:highlight w:val="none"/>
          <w:lang w:val="en-US" w:eastAsia="zh-CN"/>
        </w:rPr>
        <w:t>0020144</w:t>
      </w:r>
      <w:r>
        <w:rPr>
          <w:rFonts w:hint="eastAsia"/>
          <w:b w:val="0"/>
          <w:bCs w:val="0"/>
          <w:color w:val="000000"/>
          <w:sz w:val="20"/>
          <w:szCs w:val="20"/>
          <w:highlight w:val="none"/>
        </w:rPr>
        <w:t>（</w:t>
      </w:r>
      <w:r>
        <w:rPr>
          <w:b w:val="0"/>
          <w:bCs w:val="0"/>
          <w:color w:val="000000"/>
          <w:sz w:val="20"/>
          <w:szCs w:val="20"/>
          <w:highlight w:val="none"/>
        </w:rPr>
        <w:t>6</w:t>
      </w:r>
      <w:r>
        <w:rPr>
          <w:rFonts w:hint="eastAsia"/>
          <w:b w:val="0"/>
          <w:bCs w:val="0"/>
          <w:color w:val="000000"/>
          <w:sz w:val="20"/>
          <w:szCs w:val="20"/>
          <w:highlight w:val="none"/>
        </w:rPr>
        <w:t>）；《</w:t>
      </w:r>
      <w:r>
        <w:rPr>
          <w:rFonts w:hint="eastAsia"/>
          <w:b w:val="0"/>
          <w:bCs w:val="0"/>
          <w:color w:val="000000"/>
          <w:sz w:val="20"/>
          <w:szCs w:val="20"/>
          <w:highlight w:val="none"/>
          <w:lang w:val="en-US" w:eastAsia="zh-CN"/>
        </w:rPr>
        <w:t>综合</w:t>
      </w:r>
      <w:r>
        <w:rPr>
          <w:rFonts w:hint="eastAsia"/>
          <w:b w:val="0"/>
          <w:bCs w:val="0"/>
          <w:color w:val="000000"/>
          <w:sz w:val="20"/>
          <w:szCs w:val="20"/>
          <w:highlight w:val="none"/>
        </w:rPr>
        <w:t>英语</w:t>
      </w:r>
      <w:r>
        <w:rPr>
          <w:b w:val="0"/>
          <w:bCs w:val="0"/>
          <w:color w:val="000000"/>
          <w:sz w:val="20"/>
          <w:szCs w:val="20"/>
          <w:highlight w:val="none"/>
        </w:rPr>
        <w:t xml:space="preserve"> 3</w:t>
      </w:r>
      <w:r>
        <w:rPr>
          <w:rFonts w:hint="eastAsia"/>
          <w:b w:val="0"/>
          <w:bCs w:val="0"/>
          <w:color w:val="000000"/>
          <w:sz w:val="20"/>
          <w:szCs w:val="20"/>
          <w:highlight w:val="none"/>
        </w:rPr>
        <w:t>》</w:t>
      </w:r>
      <w:r>
        <w:rPr>
          <w:rFonts w:hint="eastAsia"/>
          <w:b w:val="0"/>
          <w:bCs w:val="0"/>
          <w:color w:val="000000"/>
          <w:sz w:val="20"/>
          <w:szCs w:val="20"/>
          <w:highlight w:val="none"/>
          <w:lang w:val="en-US" w:eastAsia="zh-CN"/>
        </w:rPr>
        <w:t>0020145</w:t>
      </w:r>
      <w:r>
        <w:rPr>
          <w:rFonts w:hint="eastAsia"/>
          <w:b w:val="0"/>
          <w:bCs w:val="0"/>
          <w:color w:val="000000"/>
          <w:sz w:val="20"/>
          <w:szCs w:val="20"/>
          <w:highlight w:val="none"/>
        </w:rPr>
        <w:t>（</w:t>
      </w:r>
      <w:r>
        <w:rPr>
          <w:b w:val="0"/>
          <w:bCs w:val="0"/>
          <w:color w:val="000000"/>
          <w:sz w:val="20"/>
          <w:szCs w:val="20"/>
          <w:highlight w:val="none"/>
        </w:rPr>
        <w:t>6</w:t>
      </w:r>
      <w:r>
        <w:rPr>
          <w:rFonts w:hint="eastAsia"/>
          <w:b w:val="0"/>
          <w:bCs w:val="0"/>
          <w:color w:val="000000"/>
          <w:sz w:val="20"/>
          <w:szCs w:val="20"/>
          <w:highlight w:val="none"/>
        </w:rPr>
        <w:t>）《英语国家概况》（2）</w:t>
      </w:r>
      <w:r>
        <w:rPr>
          <w:rFonts w:hint="eastAsia"/>
          <w:b w:val="0"/>
          <w:bCs w:val="0"/>
          <w:color w:val="000000"/>
          <w:sz w:val="20"/>
          <w:szCs w:val="20"/>
          <w:highlight w:val="none"/>
          <w:lang w:val="en-US" w:eastAsia="zh-CN"/>
        </w:rPr>
        <w:t>0020084</w:t>
      </w:r>
    </w:p>
    <w:p>
      <w:pPr>
        <w:adjustRightInd w:val="0"/>
        <w:snapToGrid w:val="0"/>
        <w:spacing w:beforeLines="50" w:afterLines="50" w:line="288" w:lineRule="auto"/>
        <w:ind w:firstLine="348" w:firstLineChars="145"/>
        <w:rPr>
          <w:rFonts w:ascii="黑体" w:hAnsi="宋体" w:eastAsia="黑体"/>
          <w:sz w:val="24"/>
          <w:highlight w:val="none"/>
        </w:rPr>
      </w:pPr>
    </w:p>
    <w:p>
      <w:pPr>
        <w:adjustRightInd w:val="0"/>
        <w:snapToGrid w:val="0"/>
        <w:spacing w:beforeLines="50" w:afterLines="50" w:line="288" w:lineRule="auto"/>
        <w:ind w:firstLine="348" w:firstLineChars="145"/>
        <w:rPr>
          <w:b/>
          <w:color w:val="000000"/>
          <w:sz w:val="24"/>
          <w:szCs w:val="20"/>
          <w:highlight w:val="none"/>
        </w:rPr>
      </w:pPr>
      <w:r>
        <w:rPr>
          <w:rFonts w:ascii="黑体" w:hAnsi="宋体" w:eastAsia="黑体"/>
          <w:sz w:val="24"/>
          <w:highlight w:val="none"/>
        </w:rPr>
        <w:t>二</w:t>
      </w:r>
      <w:r>
        <w:rPr>
          <w:rFonts w:hint="eastAsia" w:ascii="黑体" w:hAnsi="宋体" w:eastAsia="黑体"/>
          <w:sz w:val="24"/>
          <w:highlight w:val="none"/>
        </w:rPr>
        <w:t>、</w:t>
      </w:r>
      <w:r>
        <w:rPr>
          <w:rFonts w:ascii="黑体" w:hAnsi="宋体" w:eastAsia="黑体"/>
          <w:sz w:val="24"/>
          <w:highlight w:val="none"/>
        </w:rPr>
        <w:t>课程简介</w:t>
      </w:r>
    </w:p>
    <w:p>
      <w:pPr>
        <w:snapToGrid w:val="0"/>
        <w:spacing w:line="300" w:lineRule="auto"/>
        <w:ind w:firstLine="392" w:firstLineChars="196"/>
        <w:rPr>
          <w:rFonts w:hint="eastAsia" w:hAnsi="宋体"/>
          <w:bCs/>
          <w:color w:val="000000"/>
          <w:sz w:val="20"/>
          <w:szCs w:val="20"/>
          <w:highlight w:val="none"/>
        </w:rPr>
      </w:pPr>
      <w:r>
        <w:rPr>
          <w:rFonts w:hint="eastAsia" w:hAnsi="宋体"/>
          <w:bCs/>
          <w:color w:val="000000"/>
          <w:sz w:val="20"/>
          <w:szCs w:val="20"/>
          <w:highlight w:val="none"/>
        </w:rPr>
        <w:t>本课程是面向商务英语专业三年制专科学生开设的一门专业与专业特色类别的考查课。本课程通过</w:t>
      </w:r>
      <w:r>
        <w:rPr>
          <w:rFonts w:hint="eastAsia" w:hAnsi="宋体"/>
          <w:bCs/>
          <w:color w:val="000000"/>
          <w:sz w:val="20"/>
          <w:szCs w:val="20"/>
          <w:highlight w:val="none"/>
          <w:lang w:val="en-US" w:eastAsia="zh-CN"/>
        </w:rPr>
        <w:t>对</w:t>
      </w:r>
      <w:r>
        <w:rPr>
          <w:rFonts w:hint="eastAsia" w:hAnsi="宋体"/>
          <w:bCs/>
          <w:color w:val="000000"/>
          <w:sz w:val="20"/>
          <w:szCs w:val="20"/>
          <w:highlight w:val="none"/>
        </w:rPr>
        <w:t>英语国家</w:t>
      </w:r>
      <w:r>
        <w:rPr>
          <w:rFonts w:hint="eastAsia" w:hAnsi="宋体"/>
          <w:bCs/>
          <w:color w:val="000000"/>
          <w:sz w:val="20"/>
          <w:szCs w:val="20"/>
          <w:highlight w:val="none"/>
          <w:lang w:val="en-US" w:eastAsia="zh-CN"/>
        </w:rPr>
        <w:t>较为</w:t>
      </w:r>
      <w:r>
        <w:rPr>
          <w:rFonts w:hint="eastAsia" w:hAnsi="宋体"/>
          <w:bCs/>
          <w:color w:val="000000"/>
          <w:sz w:val="20"/>
          <w:szCs w:val="20"/>
          <w:highlight w:val="none"/>
        </w:rPr>
        <w:t>典型的主流文化现象</w:t>
      </w:r>
      <w:r>
        <w:rPr>
          <w:rFonts w:hint="eastAsia" w:hAnsi="宋体"/>
          <w:bCs/>
          <w:color w:val="000000"/>
          <w:sz w:val="20"/>
          <w:szCs w:val="20"/>
          <w:highlight w:val="none"/>
          <w:lang w:val="en-US" w:eastAsia="zh-CN"/>
        </w:rPr>
        <w:t>进行描述、阐释和讨论，</w:t>
      </w:r>
      <w:r>
        <w:rPr>
          <w:rFonts w:hint="eastAsia" w:hAnsi="宋体"/>
          <w:bCs/>
          <w:color w:val="000000"/>
          <w:sz w:val="20"/>
          <w:szCs w:val="20"/>
          <w:highlight w:val="none"/>
        </w:rPr>
        <w:t>讲解文化、交际、语言、跨文化交际等相关概念</w:t>
      </w:r>
      <w:r>
        <w:rPr>
          <w:rFonts w:hint="eastAsia" w:hAnsi="宋体"/>
          <w:bCs/>
          <w:color w:val="000000"/>
          <w:sz w:val="20"/>
          <w:szCs w:val="20"/>
          <w:highlight w:val="none"/>
          <w:lang w:val="en-US" w:eastAsia="zh-CN"/>
        </w:rPr>
        <w:t>和理论，</w:t>
      </w:r>
      <w:r>
        <w:rPr>
          <w:rFonts w:hint="eastAsia" w:hAnsi="宋体"/>
          <w:bCs/>
          <w:color w:val="000000"/>
          <w:sz w:val="20"/>
          <w:szCs w:val="20"/>
          <w:highlight w:val="none"/>
        </w:rPr>
        <w:t>培养学生</w:t>
      </w:r>
      <w:r>
        <w:rPr>
          <w:rFonts w:hint="eastAsia" w:hAnsi="宋体"/>
          <w:bCs/>
          <w:color w:val="000000"/>
          <w:sz w:val="20"/>
          <w:szCs w:val="20"/>
          <w:highlight w:val="none"/>
          <w:lang w:val="en-US" w:eastAsia="zh-CN"/>
        </w:rPr>
        <w:t>跨文化交际思维及</w:t>
      </w:r>
      <w:r>
        <w:rPr>
          <w:rFonts w:hint="eastAsia" w:hAnsi="宋体"/>
          <w:bCs/>
          <w:color w:val="000000"/>
          <w:sz w:val="20"/>
          <w:szCs w:val="20"/>
          <w:highlight w:val="none"/>
        </w:rPr>
        <w:t>理解力，进而使学生主动观察、分析、对比、评价文化及文化差异现象，有效拓宽学生的国际视野</w:t>
      </w:r>
      <w:r>
        <w:rPr>
          <w:rFonts w:hint="eastAsia" w:hAnsi="宋体"/>
          <w:bCs/>
          <w:color w:val="000000"/>
          <w:sz w:val="20"/>
          <w:szCs w:val="20"/>
          <w:highlight w:val="none"/>
          <w:lang w:val="en-US" w:eastAsia="zh-CN"/>
        </w:rPr>
        <w:t>和商务文化知识</w:t>
      </w:r>
      <w:r>
        <w:rPr>
          <w:rFonts w:hint="eastAsia" w:hAnsi="宋体"/>
          <w:bCs/>
          <w:color w:val="000000"/>
          <w:sz w:val="20"/>
          <w:szCs w:val="20"/>
          <w:highlight w:val="none"/>
        </w:rPr>
        <w:t>，</w:t>
      </w:r>
      <w:r>
        <w:rPr>
          <w:rFonts w:hint="eastAsia" w:hAnsi="宋体"/>
          <w:bCs/>
          <w:color w:val="000000"/>
          <w:sz w:val="20"/>
          <w:szCs w:val="20"/>
          <w:highlight w:val="none"/>
          <w:lang w:val="en-US" w:eastAsia="zh-CN"/>
        </w:rPr>
        <w:t>提高</w:t>
      </w:r>
      <w:r>
        <w:rPr>
          <w:rFonts w:hint="eastAsia" w:hAnsi="宋体"/>
          <w:bCs/>
          <w:color w:val="000000"/>
          <w:sz w:val="20"/>
          <w:szCs w:val="20"/>
          <w:highlight w:val="none"/>
        </w:rPr>
        <w:t>学生的跨文化</w:t>
      </w:r>
      <w:r>
        <w:rPr>
          <w:rFonts w:hint="eastAsia" w:hAnsi="宋体"/>
          <w:bCs/>
          <w:color w:val="000000"/>
          <w:sz w:val="20"/>
          <w:szCs w:val="20"/>
          <w:highlight w:val="none"/>
          <w:lang w:val="en-US" w:eastAsia="zh-CN"/>
        </w:rPr>
        <w:t>商务</w:t>
      </w:r>
      <w:r>
        <w:rPr>
          <w:rFonts w:hint="eastAsia" w:hAnsi="宋体"/>
          <w:bCs/>
          <w:color w:val="000000"/>
          <w:sz w:val="20"/>
          <w:szCs w:val="20"/>
          <w:highlight w:val="none"/>
        </w:rPr>
        <w:t>交际能力，满足国家对</w:t>
      </w:r>
      <w:r>
        <w:rPr>
          <w:rFonts w:hint="eastAsia" w:hAnsi="宋体"/>
          <w:bCs/>
          <w:color w:val="000000"/>
          <w:sz w:val="20"/>
          <w:szCs w:val="20"/>
          <w:highlight w:val="none"/>
          <w:lang w:val="en-US" w:eastAsia="zh-CN"/>
        </w:rPr>
        <w:t>商务</w:t>
      </w:r>
      <w:r>
        <w:rPr>
          <w:rFonts w:hint="eastAsia" w:hAnsi="宋体"/>
          <w:bCs/>
          <w:color w:val="000000"/>
          <w:sz w:val="20"/>
          <w:szCs w:val="20"/>
          <w:highlight w:val="none"/>
        </w:rPr>
        <w:t>英语专业提出的基本要求。</w:t>
      </w:r>
    </w:p>
    <w:p>
      <w:pPr>
        <w:snapToGrid w:val="0"/>
        <w:spacing w:line="288" w:lineRule="auto"/>
        <w:rPr>
          <w:color w:val="000000"/>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ascii="黑体" w:hAnsi="宋体" w:eastAsia="黑体"/>
          <w:sz w:val="24"/>
          <w:highlight w:val="none"/>
        </w:rPr>
        <w:t>三</w:t>
      </w:r>
      <w:r>
        <w:rPr>
          <w:rFonts w:hint="eastAsia" w:ascii="黑体" w:hAnsi="宋体" w:eastAsia="黑体"/>
          <w:sz w:val="24"/>
          <w:highlight w:val="none"/>
        </w:rPr>
        <w:t>、</w:t>
      </w:r>
      <w:r>
        <w:rPr>
          <w:rFonts w:ascii="黑体" w:hAnsi="宋体" w:eastAsia="黑体"/>
          <w:sz w:val="24"/>
          <w:highlight w:val="none"/>
        </w:rPr>
        <w:t>选课建议</w:t>
      </w:r>
    </w:p>
    <w:p>
      <w:pPr>
        <w:snapToGrid w:val="0"/>
        <w:spacing w:line="300" w:lineRule="auto"/>
        <w:ind w:firstLine="392" w:firstLineChars="196"/>
        <w:rPr>
          <w:rFonts w:hint="eastAsia" w:hAnsi="宋体"/>
          <w:bCs/>
          <w:color w:val="000000"/>
          <w:sz w:val="20"/>
          <w:szCs w:val="20"/>
          <w:highlight w:val="none"/>
        </w:rPr>
      </w:pPr>
      <w:r>
        <w:rPr>
          <w:rFonts w:hAnsi="宋体"/>
          <w:bCs/>
          <w:color w:val="000000"/>
          <w:sz w:val="20"/>
          <w:szCs w:val="20"/>
          <w:highlight w:val="none"/>
        </w:rPr>
        <w:t>本课程是商务英语专业专科的考查课，适合对三年级第一学期的学生开设；要求学生已顺利完成</w:t>
      </w:r>
      <w:r>
        <w:rPr>
          <w:rFonts w:hint="eastAsia" w:hAnsi="宋体"/>
          <w:bCs/>
          <w:color w:val="000000"/>
          <w:sz w:val="20"/>
          <w:szCs w:val="20"/>
          <w:highlight w:val="none"/>
          <w:lang w:val="en-US" w:eastAsia="zh-CN"/>
        </w:rPr>
        <w:t>综合</w:t>
      </w:r>
      <w:r>
        <w:rPr>
          <w:rFonts w:hAnsi="宋体"/>
          <w:bCs/>
          <w:color w:val="000000"/>
          <w:sz w:val="20"/>
          <w:szCs w:val="20"/>
          <w:highlight w:val="none"/>
        </w:rPr>
        <w:t>英语</w:t>
      </w:r>
      <w:r>
        <w:rPr>
          <w:rFonts w:hint="eastAsia" w:hAnsi="宋体"/>
          <w:bCs/>
          <w:color w:val="000000"/>
          <w:sz w:val="20"/>
          <w:szCs w:val="20"/>
          <w:highlight w:val="none"/>
          <w:lang w:val="en-US" w:eastAsia="zh-CN"/>
        </w:rPr>
        <w:t>第一及第二学年的</w:t>
      </w:r>
      <w:r>
        <w:rPr>
          <w:rFonts w:hAnsi="宋体"/>
          <w:bCs/>
          <w:color w:val="000000"/>
          <w:sz w:val="20"/>
          <w:szCs w:val="20"/>
          <w:highlight w:val="none"/>
        </w:rPr>
        <w:t>学习任务，有</w:t>
      </w:r>
      <w:r>
        <w:rPr>
          <w:bCs/>
          <w:color w:val="000000"/>
          <w:sz w:val="20"/>
          <w:szCs w:val="20"/>
          <w:highlight w:val="none"/>
        </w:rPr>
        <w:t>4500~5500</w:t>
      </w:r>
      <w:r>
        <w:rPr>
          <w:rFonts w:hAnsi="宋体"/>
          <w:bCs/>
          <w:color w:val="000000"/>
          <w:sz w:val="20"/>
          <w:szCs w:val="20"/>
          <w:highlight w:val="none"/>
        </w:rPr>
        <w:t>左右的英语词汇量、初步的词汇学和语法学理论知识。</w:t>
      </w:r>
    </w:p>
    <w:p>
      <w:pPr>
        <w:snapToGrid w:val="0"/>
        <w:spacing w:line="288" w:lineRule="auto"/>
        <w:rPr>
          <w:color w:val="000000"/>
          <w:sz w:val="20"/>
          <w:szCs w:val="20"/>
          <w:highlight w:val="none"/>
        </w:rPr>
      </w:pPr>
    </w:p>
    <w:p>
      <w:pPr>
        <w:snapToGrid w:val="0"/>
        <w:spacing w:line="288" w:lineRule="auto"/>
        <w:ind w:firstLine="400" w:firstLineChars="200"/>
        <w:rPr>
          <w:color w:val="000000"/>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ascii="黑体" w:hAnsi="宋体" w:eastAsia="黑体"/>
          <w:sz w:val="24"/>
          <w:highlight w:val="none"/>
        </w:rPr>
        <w:t>四</w:t>
      </w:r>
      <w:r>
        <w:rPr>
          <w:rFonts w:hint="eastAsia" w:ascii="黑体" w:hAnsi="宋体" w:eastAsia="黑体"/>
          <w:sz w:val="24"/>
          <w:highlight w:val="none"/>
        </w:rPr>
        <w:t>、</w:t>
      </w:r>
      <w:r>
        <w:rPr>
          <w:rFonts w:ascii="黑体" w:hAnsi="宋体" w:eastAsia="黑体"/>
          <w:sz w:val="24"/>
          <w:highlight w:val="none"/>
        </w:rPr>
        <w:t>课程与</w:t>
      </w:r>
      <w:r>
        <w:rPr>
          <w:rFonts w:hint="eastAsia" w:ascii="黑体" w:hAnsi="宋体" w:eastAsia="黑体"/>
          <w:sz w:val="24"/>
          <w:highlight w:val="none"/>
        </w:rPr>
        <w:t>专业毕业要求</w:t>
      </w:r>
      <w:r>
        <w:rPr>
          <w:rFonts w:ascii="黑体" w:hAnsi="宋体" w:eastAsia="黑体"/>
          <w:sz w:val="24"/>
          <w:highlight w:val="none"/>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专业毕业要求</w:t>
            </w:r>
          </w:p>
        </w:tc>
        <w:tc>
          <w:tcPr>
            <w:tcW w:w="727" w:type="dxa"/>
          </w:tcPr>
          <w:p>
            <w:pPr>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0"/>
                <w:szCs w:val="20"/>
                <w:highlight w:val="none"/>
              </w:rPr>
            </w:pPr>
            <w:r>
              <w:rPr>
                <w:rFonts w:hint="eastAsia" w:ascii="仿宋" w:hAnsi="仿宋" w:eastAsia="仿宋" w:cs="宋体"/>
                <w:color w:val="000000"/>
                <w:kern w:val="0"/>
                <w:sz w:val="24"/>
                <w:szCs w:val="24"/>
                <w:highlight w:val="none"/>
              </w:rPr>
              <w:t>LO11：</w:t>
            </w:r>
            <w:r>
              <w:rPr>
                <w:rFonts w:hint="eastAsia" w:ascii="仿宋" w:hAnsi="仿宋" w:eastAsia="仿宋" w:cs="宋体"/>
                <w:color w:val="000000"/>
                <w:kern w:val="0"/>
                <w:sz w:val="24"/>
                <w:highlight w:val="none"/>
              </w:rPr>
              <w:t>倾听对方的观点，尊重他人的价值观</w:t>
            </w:r>
            <w:r>
              <w:rPr>
                <w:rFonts w:hint="eastAsia" w:ascii="仿宋" w:hAnsi="仿宋" w:eastAsia="仿宋" w:cs="宋体"/>
                <w:color w:val="000000"/>
                <w:kern w:val="0"/>
                <w:sz w:val="24"/>
                <w:highlight w:val="none"/>
                <w:lang w:eastAsia="zh-CN"/>
              </w:rPr>
              <w:t>，</w:t>
            </w:r>
            <w:r>
              <w:rPr>
                <w:rFonts w:hint="eastAsia" w:ascii="仿宋" w:hAnsi="仿宋" w:eastAsia="仿宋" w:cs="宋体"/>
                <w:color w:val="000000"/>
                <w:kern w:val="0"/>
                <w:sz w:val="24"/>
                <w:highlight w:val="none"/>
              </w:rPr>
              <w:t>能在不同场合用书面或口头形式用英语进行基本有效沟通。</w:t>
            </w:r>
          </w:p>
        </w:tc>
        <w:tc>
          <w:tcPr>
            <w:tcW w:w="727" w:type="dxa"/>
            <w:vAlign w:val="center"/>
          </w:tcPr>
          <w:p>
            <w:pPr>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LO21：</w:t>
            </w:r>
            <w:r>
              <w:rPr>
                <w:rFonts w:hint="eastAsia" w:ascii="仿宋" w:hAnsi="仿宋" w:eastAsia="仿宋" w:cs="宋体"/>
                <w:color w:val="000000"/>
                <w:kern w:val="0"/>
                <w:sz w:val="24"/>
                <w:highlight w:val="none"/>
              </w:rPr>
              <w:t>能确定自己的学习目标，进行信息搜集、信息分析，主动地通过实践完成自己的学习计划。</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LO31：</w:t>
            </w:r>
            <w:r>
              <w:rPr>
                <w:rFonts w:hint="eastAsia" w:ascii="仿宋" w:hAnsi="仿宋" w:eastAsia="仿宋" w:cs="宋体"/>
                <w:color w:val="000000"/>
                <w:kern w:val="0"/>
                <w:sz w:val="24"/>
                <w:highlight w:val="none"/>
              </w:rPr>
              <w:t>思考与判断能力：掌握基本哲学概念和思维方法，能基本分析事物并解决问题</w:t>
            </w:r>
            <w:r>
              <w:rPr>
                <w:rFonts w:hint="eastAsia" w:ascii="仿宋" w:hAnsi="仿宋" w:eastAsia="仿宋" w:cs="宋体"/>
                <w:color w:val="000000"/>
                <w:kern w:val="0"/>
                <w:sz w:val="24"/>
                <w:highlight w:val="none"/>
                <w:lang w:eastAsia="zh-CN"/>
              </w:rPr>
              <w:t>。</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highlight w:val="none"/>
              </w:rPr>
            </w:pPr>
            <w:r>
              <w:rPr>
                <w:rFonts w:hint="eastAsia" w:ascii="仿宋" w:hAnsi="仿宋" w:eastAsia="仿宋" w:cs="宋体"/>
                <w:color w:val="000000"/>
                <w:kern w:val="0"/>
                <w:sz w:val="24"/>
                <w:szCs w:val="24"/>
                <w:highlight w:val="none"/>
              </w:rPr>
              <w:t>LO32：</w:t>
            </w:r>
            <w:bookmarkStart w:id="1" w:name="OLE_LINK1"/>
            <w:bookmarkStart w:id="2" w:name="OLE_LINK2"/>
            <w:r>
              <w:rPr>
                <w:rFonts w:hint="eastAsia" w:ascii="仿宋" w:hAnsi="仿宋" w:eastAsia="仿宋" w:cs="宋体"/>
                <w:color w:val="000000"/>
                <w:kern w:val="0"/>
                <w:sz w:val="24"/>
                <w:highlight w:val="none"/>
              </w:rPr>
              <w:t>英语语言基本运用能力</w:t>
            </w:r>
            <w:bookmarkEnd w:id="1"/>
            <w:bookmarkEnd w:id="2"/>
            <w:r>
              <w:rPr>
                <w:rFonts w:hint="eastAsia" w:ascii="仿宋" w:hAnsi="仿宋" w:eastAsia="仿宋" w:cs="宋体"/>
                <w:color w:val="000000"/>
                <w:kern w:val="0"/>
                <w:sz w:val="24"/>
                <w:highlight w:val="none"/>
              </w:rPr>
              <w:t>：理解并掌握英语语言基本知识，熟练运用技能进行口语、写作表达。</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highlight w:val="none"/>
              </w:rPr>
            </w:pPr>
            <w:r>
              <w:rPr>
                <w:rFonts w:hint="eastAsia" w:ascii="仿宋" w:hAnsi="仿宋" w:eastAsia="仿宋" w:cs="宋体"/>
                <w:color w:val="000000"/>
                <w:kern w:val="0"/>
                <w:sz w:val="24"/>
                <w:szCs w:val="24"/>
                <w:highlight w:val="none"/>
              </w:rPr>
              <w:t>LO33：</w:t>
            </w:r>
            <w:r>
              <w:rPr>
                <w:rFonts w:hint="eastAsia" w:ascii="仿宋" w:hAnsi="仿宋" w:eastAsia="仿宋" w:cs="宋体"/>
                <w:color w:val="000000"/>
                <w:kern w:val="0"/>
                <w:sz w:val="24"/>
                <w:highlight w:val="none"/>
              </w:rPr>
              <w:t>跨文化交际能力：掌握英语</w:t>
            </w:r>
            <w:r>
              <w:rPr>
                <w:rFonts w:hint="eastAsia" w:ascii="仿宋" w:hAnsi="仿宋" w:eastAsia="仿宋" w:cs="宋体"/>
                <w:color w:val="000000"/>
                <w:kern w:val="0"/>
                <w:sz w:val="24"/>
                <w:highlight w:val="none"/>
                <w:lang w:val="en-US" w:eastAsia="zh-CN"/>
              </w:rPr>
              <w:t>语言</w:t>
            </w:r>
            <w:r>
              <w:rPr>
                <w:rFonts w:hint="eastAsia" w:ascii="仿宋" w:hAnsi="仿宋" w:eastAsia="仿宋" w:cs="宋体"/>
                <w:color w:val="000000"/>
                <w:kern w:val="0"/>
                <w:sz w:val="24"/>
                <w:highlight w:val="none"/>
              </w:rPr>
              <w:t>国家文化</w:t>
            </w:r>
            <w:r>
              <w:rPr>
                <w:rFonts w:hint="eastAsia" w:ascii="仿宋" w:hAnsi="仿宋" w:eastAsia="仿宋" w:cs="宋体"/>
                <w:color w:val="000000"/>
                <w:kern w:val="0"/>
                <w:sz w:val="24"/>
                <w:highlight w:val="none"/>
                <w:lang w:val="en-US" w:eastAsia="zh-CN"/>
              </w:rPr>
              <w:t>特色</w:t>
            </w:r>
            <w:r>
              <w:rPr>
                <w:rFonts w:hint="eastAsia" w:ascii="仿宋" w:hAnsi="仿宋" w:eastAsia="仿宋" w:cs="宋体"/>
                <w:color w:val="000000"/>
                <w:kern w:val="0"/>
                <w:sz w:val="24"/>
                <w:highlight w:val="none"/>
              </w:rPr>
              <w:t>、具有一定跨文化思维和沟通能力</w:t>
            </w:r>
            <w:r>
              <w:rPr>
                <w:rFonts w:hint="eastAsia" w:ascii="仿宋" w:hAnsi="仿宋" w:eastAsia="仿宋" w:cs="宋体"/>
                <w:color w:val="000000"/>
                <w:kern w:val="0"/>
                <w:sz w:val="24"/>
                <w:highlight w:val="none"/>
                <w:lang w:eastAsia="zh-CN"/>
              </w:rPr>
              <w:t>。</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highlight w:val="none"/>
              </w:rPr>
            </w:pPr>
            <w:r>
              <w:rPr>
                <w:rFonts w:hint="eastAsia" w:ascii="仿宋" w:hAnsi="仿宋" w:eastAsia="仿宋" w:cs="宋体"/>
                <w:color w:val="000000"/>
                <w:kern w:val="0"/>
                <w:sz w:val="24"/>
                <w:szCs w:val="24"/>
                <w:highlight w:val="none"/>
              </w:rPr>
              <w:t>LO34：</w:t>
            </w:r>
            <w:r>
              <w:rPr>
                <w:rFonts w:hint="eastAsia" w:ascii="仿宋" w:hAnsi="仿宋" w:eastAsia="仿宋" w:cs="宋体"/>
                <w:color w:val="000000"/>
                <w:kern w:val="0"/>
                <w:sz w:val="24"/>
                <w:highlight w:val="none"/>
              </w:rPr>
              <w:t>专业方向实践能力：</w:t>
            </w:r>
            <w:r>
              <w:rPr>
                <w:rFonts w:hint="eastAsia" w:ascii="仿宋" w:hAnsi="仿宋" w:eastAsia="仿宋" w:cs="仿宋"/>
                <w:kern w:val="0"/>
                <w:sz w:val="24"/>
                <w:szCs w:val="24"/>
                <w:highlight w:val="none"/>
              </w:rPr>
              <w:t>掌握商务活动的基本知识和技能和各环节的操作实务。</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LO41：</w:t>
            </w:r>
            <w:r>
              <w:rPr>
                <w:rFonts w:hint="eastAsia" w:ascii="仿宋" w:hAnsi="仿宋" w:eastAsia="仿宋" w:cs="宋体"/>
                <w:color w:val="000000"/>
                <w:kern w:val="0"/>
                <w:sz w:val="24"/>
                <w:highlight w:val="none"/>
              </w:rPr>
              <w:t>遵守纪律、守信守责；具有耐挫折、抗压力的能力。</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LO51：</w:t>
            </w:r>
            <w:r>
              <w:rPr>
                <w:rFonts w:hint="eastAsia" w:ascii="仿宋" w:hAnsi="仿宋" w:eastAsia="仿宋" w:cs="宋体"/>
                <w:color w:val="000000"/>
                <w:kern w:val="0"/>
                <w:sz w:val="24"/>
                <w:highlight w:val="none"/>
              </w:rPr>
              <w:t>同群体保持良好的合作关系，做集体中的积极成员；善于从多个维度思考问题，利用自己的知识与实践来提出新设想。</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LO61：</w:t>
            </w:r>
            <w:r>
              <w:rPr>
                <w:rFonts w:hint="eastAsia" w:ascii="仿宋" w:hAnsi="仿宋" w:eastAsia="仿宋" w:cs="宋体"/>
                <w:color w:val="000000"/>
                <w:kern w:val="0"/>
                <w:sz w:val="24"/>
                <w:highlight w:val="none"/>
              </w:rPr>
              <w:t>具备一定的外文信息素养，并能在工作中应用信息技术解决问题。</w:t>
            </w:r>
          </w:p>
        </w:tc>
        <w:tc>
          <w:tcPr>
            <w:tcW w:w="727" w:type="dxa"/>
            <w:vAlign w:val="center"/>
          </w:tcPr>
          <w:p>
            <w:pPr>
              <w:widowControl/>
              <w:jc w:val="center"/>
              <w:rPr>
                <w:rFonts w:ascii="仿宋" w:hAnsi="仿宋" w:eastAsia="仿宋" w:cs="宋体"/>
                <w:color w:val="000000"/>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LO71：</w:t>
            </w:r>
            <w:r>
              <w:rPr>
                <w:rFonts w:hint="eastAsia" w:ascii="仿宋" w:hAnsi="仿宋" w:eastAsia="仿宋"/>
                <w:sz w:val="24"/>
                <w:highlight w:val="none"/>
              </w:rPr>
              <w:t>愿意服务他人、服务企业、服务社会；为人热忱，富于爱心，懂得感恩</w:t>
            </w:r>
            <w:r>
              <w:rPr>
                <w:rFonts w:hint="eastAsia" w:ascii="仿宋" w:hAnsi="仿宋" w:eastAsia="仿宋"/>
                <w:sz w:val="24"/>
                <w:highlight w:val="none"/>
                <w:lang w:eastAsia="zh-CN"/>
              </w:rPr>
              <w:t>。</w:t>
            </w:r>
          </w:p>
        </w:tc>
        <w:tc>
          <w:tcPr>
            <w:tcW w:w="727" w:type="dxa"/>
            <w:vAlign w:val="center"/>
          </w:tcPr>
          <w:p>
            <w:pPr>
              <w:widowControl/>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highlight w:val="none"/>
              </w:rPr>
            </w:pPr>
            <w:r>
              <w:rPr>
                <w:rFonts w:hint="eastAsia" w:ascii="仿宋" w:hAnsi="仿宋" w:eastAsia="仿宋" w:cs="宋体"/>
                <w:color w:val="000000"/>
                <w:kern w:val="0"/>
                <w:sz w:val="24"/>
                <w:szCs w:val="24"/>
                <w:highlight w:val="none"/>
              </w:rPr>
              <w:t>LO81：</w:t>
            </w:r>
            <w:r>
              <w:rPr>
                <w:rFonts w:hint="eastAsia" w:ascii="仿宋" w:hAnsi="仿宋" w:eastAsia="仿宋" w:cs="宋体"/>
                <w:color w:val="000000"/>
                <w:kern w:val="0"/>
                <w:sz w:val="24"/>
                <w:highlight w:val="none"/>
              </w:rPr>
              <w:t>具有熟练的英语表达沟通能力与跨文化理解能力，有国际竞争与合作的意识。</w:t>
            </w:r>
          </w:p>
        </w:tc>
        <w:tc>
          <w:tcPr>
            <w:tcW w:w="727" w:type="dxa"/>
            <w:vAlign w:val="center"/>
          </w:tcPr>
          <w:p>
            <w:pPr>
              <w:widowControl/>
              <w:jc w:val="center"/>
              <w:rPr>
                <w:rFonts w:ascii="仿宋" w:hAnsi="仿宋" w:eastAsia="仿宋" w:cs="宋体"/>
                <w:color w:val="000000"/>
                <w:kern w:val="0"/>
                <w:sz w:val="24"/>
                <w:szCs w:val="20"/>
                <w:highlight w:val="none"/>
              </w:rPr>
            </w:pPr>
          </w:p>
        </w:tc>
      </w:tr>
    </w:tbl>
    <w:p>
      <w:pPr>
        <w:ind w:firstLine="420" w:firstLineChars="200"/>
        <w:rPr>
          <w:highlight w:val="none"/>
        </w:rPr>
      </w:pPr>
      <w:r>
        <w:rPr>
          <w:rFonts w:hint="eastAsia"/>
          <w:highlight w:val="none"/>
        </w:rPr>
        <w:t>备注：LO=</w:t>
      </w:r>
      <w:r>
        <w:rPr>
          <w:highlight w:val="none"/>
        </w:rPr>
        <w:t>learning outcomes</w:t>
      </w:r>
      <w:r>
        <w:rPr>
          <w:rFonts w:hint="eastAsia"/>
          <w:highlight w:val="none"/>
        </w:rPr>
        <w:t>（学习成果）</w:t>
      </w:r>
    </w:p>
    <w:p>
      <w:pPr>
        <w:rPr>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序号</w:t>
            </w:r>
          </w:p>
        </w:tc>
        <w:tc>
          <w:tcPr>
            <w:tcW w:w="1175" w:type="dxa"/>
            <w:shd w:val="clear" w:color="auto" w:fill="auto"/>
          </w:tcPr>
          <w:p>
            <w:pPr>
              <w:snapToGrid w:val="0"/>
              <w:spacing w:line="288" w:lineRule="auto"/>
              <w:jc w:val="center"/>
              <w:rPr>
                <w:b/>
                <w:color w:val="000000"/>
                <w:sz w:val="20"/>
                <w:szCs w:val="20"/>
                <w:highlight w:val="none"/>
              </w:rPr>
            </w:pPr>
            <w:r>
              <w:rPr>
                <w:rFonts w:hint="eastAsia"/>
                <w:b/>
                <w:color w:val="000000"/>
                <w:sz w:val="20"/>
                <w:szCs w:val="20"/>
                <w:highlight w:val="none"/>
              </w:rPr>
              <w:t>课程预期</w:t>
            </w:r>
          </w:p>
          <w:p>
            <w:pPr>
              <w:snapToGrid w:val="0"/>
              <w:spacing w:line="288" w:lineRule="auto"/>
              <w:jc w:val="center"/>
              <w:rPr>
                <w:b/>
                <w:color w:val="000000"/>
                <w:sz w:val="20"/>
                <w:szCs w:val="20"/>
                <w:highlight w:val="none"/>
              </w:rPr>
            </w:pPr>
            <w:r>
              <w:rPr>
                <w:rFonts w:hint="eastAsia"/>
                <w:b/>
                <w:color w:val="000000"/>
                <w:sz w:val="20"/>
                <w:szCs w:val="20"/>
                <w:highlight w:val="none"/>
              </w:rPr>
              <w:t>学习成果</w:t>
            </w:r>
          </w:p>
        </w:tc>
        <w:tc>
          <w:tcPr>
            <w:tcW w:w="2470"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课程目标</w:t>
            </w:r>
          </w:p>
          <w:p>
            <w:pPr>
              <w:snapToGrid w:val="0"/>
              <w:spacing w:line="288" w:lineRule="auto"/>
              <w:jc w:val="center"/>
              <w:rPr>
                <w:b/>
                <w:color w:val="000000"/>
                <w:sz w:val="20"/>
                <w:szCs w:val="20"/>
                <w:highlight w:val="none"/>
              </w:rPr>
            </w:pPr>
            <w:r>
              <w:rPr>
                <w:rFonts w:hint="eastAsia"/>
                <w:b/>
                <w:color w:val="000000"/>
                <w:sz w:val="20"/>
                <w:szCs w:val="20"/>
                <w:highlight w:val="none"/>
              </w:rPr>
              <w:t>（细化的预期学习成果</w:t>
            </w:r>
            <w:r>
              <w:rPr>
                <w:rFonts w:hint="eastAsia"/>
                <w:b/>
                <w:color w:val="000000"/>
                <w:sz w:val="20"/>
                <w:szCs w:val="20"/>
                <w:highlight w:val="none"/>
              </w:rPr>
              <w:t>）</w:t>
            </w:r>
          </w:p>
        </w:tc>
        <w:tc>
          <w:tcPr>
            <w:tcW w:w="2199"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教与学方式</w:t>
            </w:r>
          </w:p>
        </w:tc>
        <w:tc>
          <w:tcPr>
            <w:tcW w:w="1276" w:type="dxa"/>
            <w:shd w:val="clear" w:color="auto" w:fill="auto"/>
            <w:vAlign w:val="center"/>
          </w:tcPr>
          <w:p>
            <w:pPr>
              <w:snapToGrid w:val="0"/>
              <w:spacing w:line="288" w:lineRule="auto"/>
              <w:jc w:val="center"/>
              <w:rPr>
                <w:b/>
                <w:color w:val="000000"/>
                <w:sz w:val="20"/>
                <w:szCs w:val="20"/>
                <w:highlight w:val="none"/>
              </w:rPr>
            </w:pPr>
            <w:r>
              <w:rPr>
                <w:rFonts w:hint="eastAsia"/>
                <w:b/>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1</w:t>
            </w:r>
          </w:p>
        </w:tc>
        <w:tc>
          <w:tcPr>
            <w:tcW w:w="1175" w:type="dxa"/>
            <w:shd w:val="clear" w:color="auto" w:fill="auto"/>
            <w:vAlign w:val="center"/>
          </w:tcPr>
          <w:p>
            <w:pPr>
              <w:rPr>
                <w:rFonts w:hint="eastAsia" w:ascii="仿宋" w:hAnsi="仿宋" w:eastAsia="仿宋" w:cs="宋体"/>
                <w:color w:val="000000"/>
                <w:kern w:val="0"/>
                <w:sz w:val="24"/>
                <w:highlight w:val="none"/>
                <w:lang w:val="en-US" w:eastAsia="zh-CN"/>
              </w:rPr>
            </w:pPr>
            <w:r>
              <w:rPr>
                <w:rFonts w:hint="eastAsia" w:ascii="仿宋" w:hAnsi="仿宋" w:eastAsia="仿宋" w:cs="宋体"/>
                <w:color w:val="000000"/>
                <w:kern w:val="0"/>
                <w:sz w:val="24"/>
                <w:szCs w:val="24"/>
                <w:highlight w:val="none"/>
              </w:rPr>
              <w:t>LO</w:t>
            </w:r>
            <w:r>
              <w:rPr>
                <w:rFonts w:hint="eastAsia" w:ascii="仿宋" w:hAnsi="仿宋" w:eastAsia="仿宋" w:cs="宋体"/>
                <w:color w:val="000000"/>
                <w:kern w:val="0"/>
                <w:sz w:val="24"/>
                <w:szCs w:val="24"/>
                <w:highlight w:val="none"/>
                <w:lang w:val="en-US" w:eastAsia="zh-CN"/>
              </w:rPr>
              <w:t>33</w:t>
            </w:r>
          </w:p>
        </w:tc>
        <w:tc>
          <w:tcPr>
            <w:tcW w:w="2470" w:type="dxa"/>
            <w:shd w:val="clear" w:color="auto" w:fill="auto"/>
          </w:tcPr>
          <w:p>
            <w:pPr>
              <w:rPr>
                <w:rFonts w:hint="eastAsia" w:ascii="仿宋" w:hAnsi="仿宋" w:eastAsia="仿宋" w:cs="宋体"/>
                <w:color w:val="000000"/>
                <w:kern w:val="0"/>
                <w:sz w:val="24"/>
                <w:highlight w:val="none"/>
                <w:lang w:val="en-US" w:eastAsia="zh-CN"/>
              </w:rPr>
            </w:pPr>
            <w:r>
              <w:rPr>
                <w:rFonts w:hint="eastAsia" w:ascii="仿宋" w:hAnsi="仿宋" w:eastAsia="仿宋" w:cs="宋体"/>
                <w:color w:val="000000"/>
                <w:kern w:val="0"/>
                <w:sz w:val="24"/>
                <w:highlight w:val="none"/>
                <w:lang w:val="en-US" w:eastAsia="zh-CN"/>
              </w:rPr>
              <w:t>LO332</w:t>
            </w:r>
            <w:r>
              <w:rPr>
                <w:rFonts w:hint="eastAsia" w:ascii="仿宋" w:hAnsi="仿宋" w:eastAsia="仿宋" w:cs="宋体"/>
                <w:color w:val="000000"/>
                <w:kern w:val="0"/>
                <w:sz w:val="24"/>
                <w:szCs w:val="24"/>
                <w:highlight w:val="none"/>
              </w:rPr>
              <w:t>具有一定跨文化思维和沟通能力。</w:t>
            </w:r>
          </w:p>
        </w:tc>
        <w:tc>
          <w:tcPr>
            <w:tcW w:w="2199" w:type="dxa"/>
            <w:shd w:val="clear" w:color="auto" w:fill="auto"/>
          </w:tcPr>
          <w:p>
            <w:pPr>
              <w:snapToGrid w:val="0"/>
              <w:spacing w:line="288" w:lineRule="auto"/>
              <w:jc w:val="left"/>
              <w:rPr>
                <w:rFonts w:hint="eastAsia" w:ascii="黑体" w:hAnsi="宋体" w:eastAsia="黑体"/>
                <w:sz w:val="24"/>
                <w:highlight w:val="none"/>
                <w:lang w:val="en-US" w:eastAsia="zh-CN"/>
              </w:rPr>
            </w:pPr>
            <w:r>
              <w:rPr>
                <w:rFonts w:hint="eastAsia" w:ascii="宋体" w:hAnsi="宋体" w:eastAsia="宋体" w:cs="宋体"/>
                <w:b w:val="0"/>
                <w:bCs w:val="0"/>
                <w:sz w:val="21"/>
                <w:szCs w:val="21"/>
                <w:highlight w:val="none"/>
                <w:lang w:val="en-US" w:eastAsia="zh-CN"/>
              </w:rPr>
              <w:t>案例分析</w:t>
            </w:r>
            <w:r>
              <w:rPr>
                <w:rFonts w:hint="eastAsia" w:ascii="宋体" w:hAnsi="宋体" w:cs="宋体"/>
                <w:b w:val="0"/>
                <w:bCs w:val="0"/>
                <w:sz w:val="21"/>
                <w:szCs w:val="21"/>
                <w:highlight w:val="none"/>
                <w:lang w:val="en-US" w:eastAsia="zh-CN"/>
              </w:rPr>
              <w:t>，课堂讨论，口头报告</w:t>
            </w:r>
          </w:p>
        </w:tc>
        <w:tc>
          <w:tcPr>
            <w:tcW w:w="1276" w:type="dxa"/>
            <w:shd w:val="clear" w:color="auto" w:fill="auto"/>
          </w:tcPr>
          <w:p>
            <w:pPr>
              <w:snapToGrid w:val="0"/>
              <w:spacing w:line="288" w:lineRule="auto"/>
              <w:jc w:val="left"/>
              <w:rPr>
                <w:rFonts w:hint="eastAsia" w:ascii="黑体" w:hAnsi="宋体" w:eastAsia="黑体"/>
                <w:sz w:val="24"/>
                <w:highlight w:val="none"/>
                <w:lang w:val="en-US" w:eastAsia="zh-CN"/>
              </w:rPr>
            </w:pPr>
            <w:r>
              <w:rPr>
                <w:rFonts w:hint="eastAsia" w:ascii="宋体" w:hAnsi="宋体" w:eastAsia="宋体" w:cs="宋体"/>
                <w:b w:val="0"/>
                <w:bCs w:val="0"/>
                <w:sz w:val="21"/>
                <w:szCs w:val="21"/>
                <w:highlight w:val="none"/>
                <w:lang w:val="en-US" w:eastAsia="zh-CN"/>
              </w:rPr>
              <w:t>口头报告</w:t>
            </w:r>
            <w:r>
              <w:rPr>
                <w:rFonts w:hint="eastAsia" w:ascii="宋体" w:hAnsi="宋体" w:cs="宋体"/>
                <w:b w:val="0"/>
                <w:bCs w:val="0"/>
                <w:sz w:val="21"/>
                <w:szCs w:val="21"/>
                <w:highlight w:val="none"/>
                <w:lang w:val="en-US" w:eastAsia="zh-CN"/>
              </w:rPr>
              <w:t>，笔试，课堂参与度，课后作业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2</w:t>
            </w:r>
          </w:p>
        </w:tc>
        <w:tc>
          <w:tcPr>
            <w:tcW w:w="1175" w:type="dxa"/>
            <w:shd w:val="clear" w:color="auto" w:fill="auto"/>
          </w:tcPr>
          <w:p>
            <w:pPr>
              <w:rPr>
                <w:rFonts w:hint="eastAsia" w:ascii="仿宋" w:hAnsi="仿宋" w:eastAsia="仿宋" w:cs="宋体"/>
                <w:color w:val="000000"/>
                <w:kern w:val="0"/>
                <w:sz w:val="24"/>
                <w:highlight w:val="none"/>
                <w:lang w:val="en-US" w:eastAsia="zh-CN"/>
              </w:rPr>
            </w:pPr>
            <w:r>
              <w:rPr>
                <w:rFonts w:hint="eastAsia" w:ascii="仿宋" w:hAnsi="仿宋" w:eastAsia="仿宋" w:cs="宋体"/>
                <w:color w:val="000000"/>
                <w:kern w:val="0"/>
                <w:sz w:val="24"/>
                <w:szCs w:val="24"/>
                <w:highlight w:val="none"/>
              </w:rPr>
              <w:t>LO3</w:t>
            </w:r>
            <w:r>
              <w:rPr>
                <w:rFonts w:hint="eastAsia" w:ascii="仿宋" w:hAnsi="仿宋" w:eastAsia="仿宋" w:cs="宋体"/>
                <w:color w:val="000000"/>
                <w:kern w:val="0"/>
                <w:sz w:val="24"/>
                <w:szCs w:val="24"/>
                <w:highlight w:val="none"/>
                <w:lang w:val="en-US" w:eastAsia="zh-CN"/>
              </w:rPr>
              <w:t>4</w:t>
            </w:r>
          </w:p>
        </w:tc>
        <w:tc>
          <w:tcPr>
            <w:tcW w:w="2470" w:type="dxa"/>
            <w:shd w:val="clear" w:color="auto" w:fill="auto"/>
          </w:tcPr>
          <w:p>
            <w:pPr>
              <w:rPr>
                <w:rFonts w:hint="eastAsia" w:ascii="仿宋" w:hAnsi="仿宋" w:eastAsia="仿宋" w:cs="宋体"/>
                <w:color w:val="000000"/>
                <w:kern w:val="0"/>
                <w:sz w:val="24"/>
                <w:highlight w:val="none"/>
                <w:lang w:val="en-US" w:eastAsia="zh-CN"/>
              </w:rPr>
            </w:pPr>
            <w:r>
              <w:rPr>
                <w:rFonts w:hint="eastAsia" w:ascii="仿宋" w:hAnsi="仿宋" w:eastAsia="仿宋" w:cs="宋体"/>
                <w:color w:val="000000"/>
                <w:kern w:val="0"/>
                <w:sz w:val="24"/>
                <w:highlight w:val="none"/>
                <w:lang w:val="en-US" w:eastAsia="zh-CN"/>
              </w:rPr>
              <w:t>LO341</w:t>
            </w:r>
            <w:r>
              <w:rPr>
                <w:rFonts w:hint="eastAsia" w:ascii="仿宋" w:hAnsi="仿宋" w:eastAsia="仿宋" w:cs="宋体"/>
                <w:color w:val="000000"/>
                <w:kern w:val="0"/>
                <w:sz w:val="24"/>
                <w:szCs w:val="24"/>
                <w:highlight w:val="none"/>
              </w:rPr>
              <w:t>掌握商务活动的基本知识和基本技能</w:t>
            </w:r>
          </w:p>
        </w:tc>
        <w:tc>
          <w:tcPr>
            <w:tcW w:w="2199" w:type="dxa"/>
            <w:shd w:val="clear" w:color="auto" w:fill="auto"/>
          </w:tcPr>
          <w:p>
            <w:pPr>
              <w:snapToGrid w:val="0"/>
              <w:spacing w:line="288" w:lineRule="auto"/>
              <w:jc w:val="left"/>
              <w:rPr>
                <w:rFonts w:ascii="黑体" w:hAnsi="宋体" w:eastAsia="黑体"/>
                <w:sz w:val="24"/>
                <w:highlight w:val="none"/>
              </w:rPr>
            </w:pPr>
            <w:r>
              <w:rPr>
                <w:rFonts w:hint="eastAsia" w:ascii="宋体" w:hAnsi="宋体" w:eastAsia="宋体" w:cs="宋体"/>
                <w:b w:val="0"/>
                <w:bCs w:val="0"/>
                <w:sz w:val="21"/>
                <w:szCs w:val="21"/>
                <w:highlight w:val="none"/>
                <w:lang w:val="en-US" w:eastAsia="zh-CN"/>
              </w:rPr>
              <w:t>案例分析</w:t>
            </w:r>
            <w:r>
              <w:rPr>
                <w:rFonts w:hint="eastAsia" w:ascii="宋体" w:hAnsi="宋体" w:cs="宋体"/>
                <w:b w:val="0"/>
                <w:bCs w:val="0"/>
                <w:sz w:val="21"/>
                <w:szCs w:val="21"/>
                <w:highlight w:val="none"/>
                <w:lang w:val="en-US" w:eastAsia="zh-CN"/>
              </w:rPr>
              <w:t>，课堂讨论，口头报告</w:t>
            </w:r>
          </w:p>
        </w:tc>
        <w:tc>
          <w:tcPr>
            <w:tcW w:w="1276" w:type="dxa"/>
            <w:shd w:val="clear" w:color="auto" w:fill="auto"/>
          </w:tcPr>
          <w:p>
            <w:pPr>
              <w:snapToGrid w:val="0"/>
              <w:spacing w:line="288" w:lineRule="auto"/>
              <w:jc w:val="left"/>
              <w:rPr>
                <w:rFonts w:ascii="黑体" w:hAnsi="宋体" w:eastAsia="黑体"/>
                <w:sz w:val="24"/>
                <w:highlight w:val="none"/>
                <w:lang w:val="en-US"/>
              </w:rPr>
            </w:pPr>
            <w:r>
              <w:rPr>
                <w:rFonts w:hint="eastAsia" w:ascii="宋体" w:hAnsi="宋体" w:cs="宋体"/>
                <w:b w:val="0"/>
                <w:bCs w:val="0"/>
                <w:sz w:val="21"/>
                <w:szCs w:val="21"/>
                <w:highlight w:val="none"/>
                <w:lang w:val="en-US" w:eastAsia="zh-CN"/>
              </w:rPr>
              <w:t>笔试，</w:t>
            </w:r>
            <w:r>
              <w:rPr>
                <w:rFonts w:hint="eastAsia" w:ascii="宋体" w:hAnsi="宋体" w:eastAsia="宋体" w:cs="宋体"/>
                <w:b w:val="0"/>
                <w:bCs w:val="0"/>
                <w:sz w:val="21"/>
                <w:szCs w:val="21"/>
                <w:highlight w:val="none"/>
                <w:lang w:val="en-US" w:eastAsia="zh-CN"/>
              </w:rPr>
              <w:t>口头报告</w:t>
            </w:r>
            <w:r>
              <w:rPr>
                <w:rFonts w:hint="eastAsia" w:ascii="宋体" w:hAnsi="宋体" w:cs="宋体"/>
                <w:b w:val="0"/>
                <w:bCs w:val="0"/>
                <w:sz w:val="21"/>
                <w:szCs w:val="21"/>
                <w:highlight w:val="none"/>
                <w:lang w:val="en-US" w:eastAsia="zh-CN"/>
              </w:rPr>
              <w:t>，课堂参与度，课后作业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rPr>
              <w:t>3</w:t>
            </w:r>
          </w:p>
        </w:tc>
        <w:tc>
          <w:tcPr>
            <w:tcW w:w="1175" w:type="dxa"/>
            <w:shd w:val="clear" w:color="auto" w:fill="auto"/>
          </w:tcPr>
          <w:p>
            <w:pPr>
              <w:rPr>
                <w:rFonts w:hint="eastAsia" w:ascii="仿宋" w:hAnsi="仿宋" w:eastAsia="仿宋" w:cs="宋体"/>
                <w:color w:val="000000"/>
                <w:kern w:val="0"/>
                <w:sz w:val="24"/>
                <w:highlight w:val="none"/>
                <w:lang w:val="en-US" w:eastAsia="zh-CN"/>
              </w:rPr>
            </w:pPr>
            <w:r>
              <w:rPr>
                <w:rFonts w:hint="eastAsia" w:ascii="仿宋" w:hAnsi="仿宋" w:eastAsia="仿宋" w:cs="宋体"/>
                <w:color w:val="000000"/>
                <w:kern w:val="0"/>
                <w:sz w:val="24"/>
                <w:szCs w:val="24"/>
                <w:highlight w:val="none"/>
              </w:rPr>
              <w:t>LO</w:t>
            </w:r>
            <w:r>
              <w:rPr>
                <w:rFonts w:hint="eastAsia" w:ascii="仿宋" w:hAnsi="仿宋" w:eastAsia="仿宋" w:cs="宋体"/>
                <w:color w:val="000000"/>
                <w:kern w:val="0"/>
                <w:sz w:val="24"/>
                <w:szCs w:val="24"/>
                <w:highlight w:val="none"/>
                <w:lang w:val="en-US" w:eastAsia="zh-CN"/>
              </w:rPr>
              <w:t>41</w:t>
            </w:r>
          </w:p>
        </w:tc>
        <w:tc>
          <w:tcPr>
            <w:tcW w:w="2470" w:type="dxa"/>
            <w:shd w:val="clear" w:color="auto" w:fill="auto"/>
          </w:tcPr>
          <w:p>
            <w:pPr>
              <w:rPr>
                <w:rFonts w:ascii="仿宋" w:hAnsi="仿宋" w:eastAsia="仿宋" w:cs="宋体"/>
                <w:color w:val="000000"/>
                <w:kern w:val="0"/>
                <w:sz w:val="24"/>
                <w:highlight w:val="none"/>
              </w:rPr>
            </w:pPr>
            <w:r>
              <w:rPr>
                <w:rFonts w:hint="eastAsia" w:ascii="仿宋" w:hAnsi="仿宋" w:eastAsia="仿宋" w:cs="宋体"/>
                <w:color w:val="000000"/>
                <w:kern w:val="0"/>
                <w:sz w:val="24"/>
                <w:szCs w:val="24"/>
                <w:highlight w:val="none"/>
                <w:lang w:val="en-US" w:eastAsia="zh-CN"/>
              </w:rPr>
              <w:t>LO413</w:t>
            </w:r>
            <w:r>
              <w:rPr>
                <w:rFonts w:hint="eastAsia" w:ascii="仿宋" w:hAnsi="仿宋" w:eastAsia="仿宋" w:cs="宋体"/>
                <w:color w:val="000000"/>
                <w:kern w:val="0"/>
                <w:sz w:val="24"/>
                <w:szCs w:val="24"/>
                <w:highlight w:val="none"/>
              </w:rPr>
              <w:t>爱岗敬业：了解与专业相关的法律法规，在学习和社会实践中遵守职业规范，具备职业道德操守。</w:t>
            </w:r>
          </w:p>
        </w:tc>
        <w:tc>
          <w:tcPr>
            <w:tcW w:w="2199" w:type="dxa"/>
            <w:shd w:val="clear" w:color="auto" w:fill="auto"/>
          </w:tcPr>
          <w:p>
            <w:pPr>
              <w:snapToGrid w:val="0"/>
              <w:spacing w:line="288" w:lineRule="auto"/>
              <w:jc w:val="left"/>
              <w:rPr>
                <w:rFonts w:hint="eastAsia" w:ascii="宋体" w:hAnsi="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案例分析</w:t>
            </w:r>
            <w:r>
              <w:rPr>
                <w:rFonts w:hint="eastAsia" w:ascii="宋体" w:hAnsi="宋体" w:cs="宋体"/>
                <w:b w:val="0"/>
                <w:bCs w:val="0"/>
                <w:sz w:val="21"/>
                <w:szCs w:val="21"/>
                <w:highlight w:val="none"/>
                <w:lang w:val="en-US" w:eastAsia="zh-CN"/>
              </w:rPr>
              <w:t>，课堂讨论，</w:t>
            </w:r>
          </w:p>
          <w:p>
            <w:pPr>
              <w:snapToGrid w:val="0"/>
              <w:spacing w:line="288" w:lineRule="auto"/>
              <w:jc w:val="left"/>
              <w:rPr>
                <w:rFonts w:hint="eastAsia" w:ascii="宋体" w:hAnsi="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口头报告</w:t>
            </w:r>
          </w:p>
        </w:tc>
        <w:tc>
          <w:tcPr>
            <w:tcW w:w="1276" w:type="dxa"/>
            <w:shd w:val="clear" w:color="auto" w:fill="auto"/>
          </w:tcPr>
          <w:p>
            <w:pPr>
              <w:snapToGrid w:val="0"/>
              <w:spacing w:line="288" w:lineRule="auto"/>
              <w:jc w:val="left"/>
              <w:rPr>
                <w:rFonts w:ascii="黑体" w:hAnsi="宋体" w:eastAsia="黑体"/>
                <w:sz w:val="24"/>
                <w:highlight w:val="none"/>
              </w:rPr>
            </w:pPr>
            <w:r>
              <w:rPr>
                <w:rFonts w:hint="eastAsia" w:ascii="宋体" w:hAnsi="宋体" w:eastAsia="宋体" w:cs="宋体"/>
                <w:b w:val="0"/>
                <w:bCs w:val="0"/>
                <w:sz w:val="21"/>
                <w:szCs w:val="21"/>
                <w:highlight w:val="none"/>
                <w:lang w:val="en-US" w:eastAsia="zh-CN"/>
              </w:rPr>
              <w:t>口头报告</w:t>
            </w:r>
            <w:r>
              <w:rPr>
                <w:rFonts w:hint="eastAsia" w:ascii="宋体" w:hAnsi="宋体" w:cs="宋体"/>
                <w:b w:val="0"/>
                <w:bCs w:val="0"/>
                <w:sz w:val="21"/>
                <w:szCs w:val="21"/>
                <w:highlight w:val="none"/>
                <w:lang w:val="en-US" w:eastAsia="zh-CN"/>
              </w:rPr>
              <w:t>，课堂参与度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szCs w:val="24"/>
                <w:highlight w:val="none"/>
                <w:lang w:val="en-US" w:eastAsia="zh-CN"/>
              </w:rPr>
            </w:pPr>
            <w:r>
              <w:rPr>
                <w:rFonts w:hint="eastAsia" w:ascii="仿宋" w:hAnsi="仿宋" w:eastAsia="仿宋" w:cs="宋体"/>
                <w:color w:val="000000"/>
                <w:kern w:val="0"/>
                <w:sz w:val="24"/>
                <w:szCs w:val="24"/>
                <w:highlight w:val="none"/>
                <w:lang w:val="en-US" w:eastAsia="zh-CN"/>
              </w:rPr>
              <w:t>4</w:t>
            </w:r>
          </w:p>
        </w:tc>
        <w:tc>
          <w:tcPr>
            <w:tcW w:w="1175" w:type="dxa"/>
            <w:shd w:val="clear" w:color="auto" w:fill="auto"/>
          </w:tcPr>
          <w:p>
            <w:pPr>
              <w:rPr>
                <w:rFonts w:hint="eastAsia" w:ascii="仿宋" w:hAnsi="仿宋" w:eastAsia="仿宋" w:cs="宋体"/>
                <w:color w:val="000000"/>
                <w:kern w:val="0"/>
                <w:sz w:val="24"/>
                <w:szCs w:val="24"/>
                <w:highlight w:val="none"/>
                <w:lang w:val="en-US" w:eastAsia="zh-CN"/>
              </w:rPr>
            </w:pPr>
            <w:r>
              <w:rPr>
                <w:rFonts w:hint="eastAsia" w:ascii="仿宋" w:hAnsi="仿宋" w:eastAsia="仿宋" w:cs="宋体"/>
                <w:color w:val="000000"/>
                <w:kern w:val="0"/>
                <w:sz w:val="24"/>
                <w:szCs w:val="24"/>
                <w:highlight w:val="none"/>
                <w:lang w:val="en-US" w:eastAsia="zh-CN"/>
              </w:rPr>
              <w:t>LO71</w:t>
            </w:r>
          </w:p>
        </w:tc>
        <w:tc>
          <w:tcPr>
            <w:tcW w:w="2470" w:type="dxa"/>
            <w:shd w:val="clear" w:color="auto" w:fill="auto"/>
          </w:tcPr>
          <w:p>
            <w:pPr>
              <w:rPr>
                <w:rFonts w:hint="eastAsia" w:ascii="仿宋" w:hAnsi="仿宋" w:eastAsia="仿宋" w:cs="宋体"/>
                <w:color w:val="000000"/>
                <w:kern w:val="0"/>
                <w:sz w:val="24"/>
                <w:szCs w:val="24"/>
                <w:highlight w:val="none"/>
                <w:lang w:val="en-US" w:eastAsia="zh-CN"/>
              </w:rPr>
            </w:pPr>
            <w:r>
              <w:rPr>
                <w:rFonts w:hint="eastAsia" w:ascii="仿宋" w:hAnsi="仿宋" w:eastAsia="仿宋" w:cs="宋体"/>
                <w:color w:val="000000"/>
                <w:kern w:val="0"/>
                <w:sz w:val="24"/>
                <w:szCs w:val="24"/>
                <w:highlight w:val="none"/>
                <w:lang w:val="en-US" w:eastAsia="zh-CN"/>
              </w:rPr>
              <w:t>LO713奉献社会：具有服务企业、服务社会的意愿和行为能力。</w:t>
            </w:r>
          </w:p>
        </w:tc>
        <w:tc>
          <w:tcPr>
            <w:tcW w:w="2199" w:type="dxa"/>
            <w:shd w:val="clear" w:color="auto" w:fill="auto"/>
          </w:tcPr>
          <w:p>
            <w:pPr>
              <w:snapToGrid w:val="0"/>
              <w:spacing w:line="288" w:lineRule="auto"/>
              <w:jc w:val="left"/>
              <w:rPr>
                <w:rFonts w:hint="eastAsia" w:ascii="宋体" w:hAnsi="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案例分析</w:t>
            </w:r>
            <w:r>
              <w:rPr>
                <w:rFonts w:hint="eastAsia" w:ascii="宋体" w:hAnsi="宋体" w:cs="宋体"/>
                <w:b w:val="0"/>
                <w:bCs w:val="0"/>
                <w:sz w:val="21"/>
                <w:szCs w:val="21"/>
                <w:highlight w:val="none"/>
                <w:lang w:val="en-US" w:eastAsia="zh-CN"/>
              </w:rPr>
              <w:t>，课堂讨论，</w:t>
            </w:r>
          </w:p>
          <w:p>
            <w:pPr>
              <w:snapToGrid w:val="0"/>
              <w:spacing w:line="288" w:lineRule="auto"/>
              <w:jc w:val="left"/>
              <w:rPr>
                <w:rFonts w:ascii="黑体" w:hAnsi="宋体" w:eastAsia="黑体"/>
                <w:sz w:val="24"/>
                <w:highlight w:val="none"/>
              </w:rPr>
            </w:pPr>
            <w:r>
              <w:rPr>
                <w:rFonts w:hint="eastAsia" w:ascii="宋体" w:hAnsi="宋体" w:cs="宋体"/>
                <w:b w:val="0"/>
                <w:bCs w:val="0"/>
                <w:sz w:val="21"/>
                <w:szCs w:val="21"/>
                <w:highlight w:val="none"/>
                <w:lang w:val="en-US" w:eastAsia="zh-CN"/>
              </w:rPr>
              <w:t>口头报告</w:t>
            </w:r>
          </w:p>
        </w:tc>
        <w:tc>
          <w:tcPr>
            <w:tcW w:w="1276" w:type="dxa"/>
            <w:shd w:val="clear" w:color="auto" w:fill="auto"/>
          </w:tcPr>
          <w:p>
            <w:pPr>
              <w:snapToGrid w:val="0"/>
              <w:spacing w:line="288" w:lineRule="auto"/>
              <w:jc w:val="left"/>
              <w:rPr>
                <w:rFonts w:ascii="黑体" w:hAnsi="宋体" w:eastAsia="黑体"/>
                <w:sz w:val="24"/>
                <w:highlight w:val="none"/>
              </w:rPr>
            </w:pPr>
            <w:r>
              <w:rPr>
                <w:rFonts w:hint="eastAsia" w:ascii="宋体" w:hAnsi="宋体" w:cs="宋体"/>
                <w:b w:val="0"/>
                <w:bCs w:val="0"/>
                <w:sz w:val="21"/>
                <w:szCs w:val="21"/>
                <w:highlight w:val="none"/>
                <w:lang w:val="en-US" w:eastAsia="zh-CN"/>
              </w:rPr>
              <w:t>口头报告，课堂参与度</w:t>
            </w:r>
          </w:p>
        </w:tc>
      </w:tr>
    </w:tbl>
    <w:p>
      <w:pPr>
        <w:widowControl/>
        <w:spacing w:beforeLines="50" w:afterLines="50" w:line="288" w:lineRule="auto"/>
        <w:ind w:firstLine="420" w:firstLineChars="0"/>
        <w:jc w:val="left"/>
        <w:rPr>
          <w:rFonts w:hint="eastAsia" w:ascii="黑体" w:hAnsi="宋体" w:eastAsia="黑体"/>
          <w:sz w:val="24"/>
          <w:highlight w:val="none"/>
        </w:rPr>
      </w:pPr>
    </w:p>
    <w:p>
      <w:pPr>
        <w:widowControl/>
        <w:spacing w:beforeLines="50" w:afterLines="50" w:line="288" w:lineRule="auto"/>
        <w:ind w:firstLine="420" w:firstLineChars="0"/>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31"/>
        <w:gridCol w:w="6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3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lang w:val="en-US" w:eastAsia="zh-CN"/>
              </w:rPr>
              <w:t>第一单元</w:t>
            </w:r>
          </w:p>
        </w:tc>
        <w:tc>
          <w:tcPr>
            <w:tcW w:w="6991" w:type="dxa"/>
          </w:tcPr>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文化       理论课时数：4</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知道文化的本质、功能及特点；</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理解文化的定义；</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分析文化认同的形成过程；</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评价文化多样性</w:t>
            </w:r>
          </w:p>
          <w:p>
            <w:pPr>
              <w:snapToGrid w:val="0"/>
              <w:spacing w:line="288" w:lineRule="auto"/>
              <w:rPr>
                <w:rFonts w:hint="eastAsia" w:ascii="宋体" w:hAnsi="宋体"/>
                <w:sz w:val="20"/>
                <w:szCs w:val="20"/>
                <w:highlight w:val="none"/>
                <w:lang w:val="en-US" w:eastAsia="zh-CN"/>
              </w:rPr>
            </w:pPr>
            <w:r>
              <w:rPr>
                <w:rFonts w:hint="eastAsia" w:ascii="宋体" w:hAnsi="宋体"/>
                <w:b w:val="0"/>
                <w:bCs w:val="0"/>
                <w:sz w:val="20"/>
                <w:szCs w:val="20"/>
                <w:highlight w:val="none"/>
                <w:lang w:val="en-US" w:eastAsia="zh-CN"/>
              </w:rPr>
              <w:t>教学难点：</w:t>
            </w:r>
            <w:r>
              <w:rPr>
                <w:rFonts w:hint="eastAsia" w:ascii="宋体" w:hAnsi="宋体"/>
                <w:sz w:val="20"/>
                <w:szCs w:val="20"/>
                <w:highlight w:val="none"/>
                <w:lang w:val="en-US" w:eastAsia="zh-CN"/>
              </w:rPr>
              <w:t>文化认同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3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第二单元</w:t>
            </w:r>
          </w:p>
        </w:tc>
        <w:tc>
          <w:tcPr>
            <w:tcW w:w="699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 xml:space="preserve">文化对认知的影响    </w:t>
            </w:r>
            <w:r>
              <w:rPr>
                <w:rFonts w:hint="eastAsia" w:ascii="宋体" w:hAnsi="宋体"/>
                <w:sz w:val="20"/>
                <w:szCs w:val="20"/>
                <w:highlight w:val="none"/>
                <w:lang w:val="en-US" w:eastAsia="zh-CN"/>
              </w:rPr>
              <w:t>理论课时数：2</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知道感知和认知的定义；</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理解人类认知模式；</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分析文化对感知及认知的影响；</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综合跨文化交际认知的阻碍因素；</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评价提高跨文化认知的技能</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教学难点：文化对人类感知和认知的影响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3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第三单元</w:t>
            </w:r>
          </w:p>
        </w:tc>
        <w:tc>
          <w:tcPr>
            <w:tcW w:w="699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 xml:space="preserve">传播与跨文化交际    </w:t>
            </w:r>
            <w:r>
              <w:rPr>
                <w:rFonts w:hint="eastAsia" w:ascii="宋体" w:hAnsi="宋体"/>
                <w:sz w:val="20"/>
                <w:szCs w:val="20"/>
                <w:highlight w:val="none"/>
                <w:lang w:val="en-US" w:eastAsia="zh-CN"/>
              </w:rPr>
              <w:t>理论课时数：2</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知道交际的构成成分及特征</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理解交际及跨文化交际的定义；</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分析跨文化交际的风格；</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教学难点：文化对跨文化交际风格的影响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3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第四单元</w:t>
            </w:r>
          </w:p>
        </w:tc>
        <w:tc>
          <w:tcPr>
            <w:tcW w:w="6991" w:type="dxa"/>
          </w:tcPr>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vertAlign w:val="baseline"/>
                <w:lang w:val="en-US" w:eastAsia="zh-CN"/>
              </w:rPr>
              <w:t xml:space="preserve">跨文化交际障碍      </w:t>
            </w:r>
            <w:r>
              <w:rPr>
                <w:rFonts w:hint="eastAsia" w:ascii="宋体" w:hAnsi="宋体"/>
                <w:sz w:val="20"/>
                <w:szCs w:val="20"/>
                <w:highlight w:val="none"/>
                <w:lang w:val="en-US" w:eastAsia="zh-CN"/>
              </w:rPr>
              <w:t>理论课时数：4</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知道跨文化交际中的情感障碍；</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理解跨文化交际中的态度障碍；</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分析民族优越感、刻板印象、偏见和种族主义产生的原因；</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评价因翻译产生的各种跨文化交际障碍</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教学难点：翻译在跨文化交际的作用及问题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3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第五单元</w:t>
            </w:r>
          </w:p>
        </w:tc>
        <w:tc>
          <w:tcPr>
            <w:tcW w:w="6991" w:type="dxa"/>
          </w:tcPr>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vertAlign w:val="baseline"/>
                <w:lang w:val="en-US" w:eastAsia="zh-CN"/>
              </w:rPr>
              <w:t xml:space="preserve">语言性交际          </w:t>
            </w:r>
            <w:r>
              <w:rPr>
                <w:rFonts w:hint="eastAsia" w:ascii="宋体" w:hAnsi="宋体"/>
                <w:sz w:val="20"/>
                <w:szCs w:val="20"/>
                <w:highlight w:val="none"/>
                <w:lang w:val="en-US" w:eastAsia="zh-CN"/>
              </w:rPr>
              <w:t>理论课时数：2</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知道语言性交际的定义；</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理解语言与交际的关系；</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分析文化对语言性交际风格产生的影响；</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评价书面语文化差异</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教学难点：中英交际风格及书面语差异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3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第六单元</w:t>
            </w:r>
          </w:p>
        </w:tc>
        <w:tc>
          <w:tcPr>
            <w:tcW w:w="6991" w:type="dxa"/>
          </w:tcPr>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vertAlign w:val="baseline"/>
                <w:lang w:val="en-US" w:eastAsia="zh-CN"/>
              </w:rPr>
              <w:t xml:space="preserve">非语言性交际        </w:t>
            </w:r>
            <w:r>
              <w:rPr>
                <w:rFonts w:hint="eastAsia" w:ascii="宋体" w:hAnsi="宋体"/>
                <w:sz w:val="20"/>
                <w:szCs w:val="20"/>
                <w:highlight w:val="none"/>
                <w:lang w:val="en-US" w:eastAsia="zh-CN"/>
              </w:rPr>
              <w:t>理论课时数：2</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知道非语言性交际的重要性；</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理解非语言性交际的定义；</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分析非语言性交际的功能；</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综合非语言性交际的类别；</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教学难点：中英非语言性交际差异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3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第七单元</w:t>
            </w:r>
          </w:p>
        </w:tc>
        <w:tc>
          <w:tcPr>
            <w:tcW w:w="6991" w:type="dxa"/>
          </w:tcPr>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vertAlign w:val="baseline"/>
                <w:lang w:val="en-US" w:eastAsia="zh-CN"/>
              </w:rPr>
              <w:t xml:space="preserve">文化模式            </w:t>
            </w:r>
            <w:r>
              <w:rPr>
                <w:rFonts w:hint="eastAsia" w:ascii="宋体" w:hAnsi="宋体"/>
                <w:sz w:val="20"/>
                <w:szCs w:val="20"/>
                <w:highlight w:val="none"/>
                <w:lang w:val="en-US" w:eastAsia="zh-CN"/>
              </w:rPr>
              <w:t>理论课时数：8</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知道文化模式定义</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理解文化模式的成分；</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运用高低语境理论、价值取向理论和文化维度理论</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综合三个文化理论在实际案例中的使用</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教学难点：高低语境理论、价值取向理论和文化维度理论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3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第八单元</w:t>
            </w:r>
          </w:p>
        </w:tc>
        <w:tc>
          <w:tcPr>
            <w:tcW w:w="6991" w:type="dxa"/>
          </w:tcPr>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vertAlign w:val="baseline"/>
                <w:lang w:val="en-US" w:eastAsia="zh-CN"/>
              </w:rPr>
              <w:t xml:space="preserve">文化对语境的影响    </w:t>
            </w:r>
            <w:r>
              <w:rPr>
                <w:rFonts w:hint="eastAsia" w:ascii="宋体" w:hAnsi="宋体"/>
                <w:sz w:val="20"/>
                <w:szCs w:val="20"/>
                <w:highlight w:val="none"/>
                <w:lang w:val="en-US" w:eastAsia="zh-CN"/>
              </w:rPr>
              <w:t>理论课时数：2</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理解语境和交际的关系；</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分析商务语境中管理理念和行为模式上的文化差异；教育语境中教育功能及行为模式上的文化差异；健康卫生语境中态度及会话结构上的文化差异</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教学难点：中西国家在商务管理上的文化差异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3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第九单元</w:t>
            </w:r>
          </w:p>
        </w:tc>
        <w:tc>
          <w:tcPr>
            <w:tcW w:w="6991" w:type="dxa"/>
          </w:tcPr>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vertAlign w:val="baseline"/>
                <w:lang w:val="en-US" w:eastAsia="zh-CN"/>
              </w:rPr>
              <w:t xml:space="preserve">文化适应            </w:t>
            </w:r>
            <w:r>
              <w:rPr>
                <w:rFonts w:hint="eastAsia" w:ascii="宋体" w:hAnsi="宋体"/>
                <w:sz w:val="20"/>
                <w:szCs w:val="20"/>
                <w:highlight w:val="none"/>
                <w:lang w:val="en-US" w:eastAsia="zh-CN"/>
              </w:rPr>
              <w:t>理论课时数：2</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知道文化适应的定义；</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理解影响文化适应的因素；</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分析文化休克的原因、形式及作用</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运用U型及W型模式进行案例分析；</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评价避免文化休克提高文化适应能力的策略</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教学难点：文化适应的U型模式及W型模式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31" w:type="dxa"/>
          </w:tcPr>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vertAlign w:val="baseline"/>
                <w:lang w:val="en-US" w:eastAsia="zh-CN"/>
              </w:rPr>
              <w:t>第十单元</w:t>
            </w:r>
          </w:p>
        </w:tc>
        <w:tc>
          <w:tcPr>
            <w:tcW w:w="6991" w:type="dxa"/>
          </w:tcPr>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vertAlign w:val="baseline"/>
                <w:lang w:val="en-US" w:eastAsia="zh-CN"/>
              </w:rPr>
              <w:t xml:space="preserve">跨文化交际能力      </w:t>
            </w:r>
            <w:r>
              <w:rPr>
                <w:rFonts w:hint="eastAsia" w:ascii="宋体" w:hAnsi="宋体"/>
                <w:sz w:val="20"/>
                <w:szCs w:val="20"/>
                <w:highlight w:val="none"/>
                <w:lang w:val="en-US" w:eastAsia="zh-CN"/>
              </w:rPr>
              <w:t>理论课时数：4</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知道跨文化交际能力的定义；</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理解跨文化交际能力的构成成分；</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分析跨文化交际的几个维度；</w:t>
            </w:r>
          </w:p>
          <w:p>
            <w:pPr>
              <w:snapToGrid w:val="0"/>
              <w:spacing w:line="288" w:lineRule="auto"/>
              <w:rPr>
                <w:rFonts w:hint="eastAsia" w:ascii="宋体" w:hAnsi="宋体"/>
                <w:sz w:val="20"/>
                <w:szCs w:val="20"/>
                <w:highlight w:val="none"/>
                <w:lang w:val="en-US" w:eastAsia="zh-CN"/>
              </w:rPr>
            </w:pPr>
            <w:r>
              <w:rPr>
                <w:rFonts w:hint="eastAsia" w:ascii="宋体" w:hAnsi="宋体"/>
                <w:sz w:val="20"/>
                <w:szCs w:val="20"/>
                <w:highlight w:val="none"/>
                <w:lang w:val="en-US" w:eastAsia="zh-CN"/>
              </w:rPr>
              <w:t>评价提高跨文化交际能力的策略</w:t>
            </w:r>
          </w:p>
          <w:p>
            <w:pPr>
              <w:snapToGrid w:val="0"/>
              <w:spacing w:line="288" w:lineRule="auto"/>
              <w:rPr>
                <w:rFonts w:hint="eastAsia" w:ascii="宋体" w:hAnsi="宋体"/>
                <w:sz w:val="20"/>
                <w:szCs w:val="20"/>
                <w:highlight w:val="none"/>
                <w:vertAlign w:val="baseline"/>
                <w:lang w:val="en-US" w:eastAsia="zh-CN"/>
              </w:rPr>
            </w:pPr>
            <w:r>
              <w:rPr>
                <w:rFonts w:hint="eastAsia" w:ascii="宋体" w:hAnsi="宋体"/>
                <w:sz w:val="20"/>
                <w:szCs w:val="20"/>
                <w:highlight w:val="none"/>
                <w:lang w:val="en-US" w:eastAsia="zh-CN"/>
              </w:rPr>
              <w:t>教学难点：跨文化交际意识及能力提高策略</w:t>
            </w:r>
          </w:p>
        </w:tc>
      </w:tr>
    </w:tbl>
    <w:p>
      <w:pPr>
        <w:snapToGrid w:val="0"/>
        <w:spacing w:line="288" w:lineRule="auto"/>
        <w:rPr>
          <w:rFonts w:hint="eastAsia" w:ascii="宋体" w:hAnsi="宋体"/>
          <w:sz w:val="20"/>
          <w:szCs w:val="20"/>
          <w:highlight w:val="none"/>
          <w:lang w:val="en-US" w:eastAsia="zh-CN"/>
        </w:rPr>
      </w:pPr>
    </w:p>
    <w:p>
      <w:pPr>
        <w:snapToGrid w:val="0"/>
        <w:spacing w:line="288" w:lineRule="auto"/>
        <w:rPr>
          <w:sz w:val="20"/>
          <w:szCs w:val="20"/>
          <w:highlight w:val="none"/>
        </w:rPr>
      </w:pPr>
      <w:r>
        <w:rPr>
          <w:rFonts w:hint="eastAsia" w:ascii="宋体" w:hAnsi="宋体"/>
          <w:sz w:val="20"/>
          <w:szCs w:val="20"/>
          <w:highlight w:val="none"/>
          <w:lang w:val="en-US" w:eastAsia="zh-CN"/>
        </w:rPr>
        <w:t xml:space="preserve">          </w:t>
      </w: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lang w:val="en-US" w:eastAsia="zh-CN"/>
        </w:rPr>
        <w:t>七</w:t>
      </w:r>
      <w:r>
        <w:rPr>
          <w:rFonts w:hint="eastAsia" w:ascii="黑体" w:hAnsi="宋体" w:eastAsia="黑体"/>
          <w:sz w:val="24"/>
          <w:highlight w:val="none"/>
        </w:rPr>
        <w:t>、课内实验名称及基本要求（选填，适用于课内实验）</w:t>
      </w:r>
    </w:p>
    <w:p>
      <w:pPr>
        <w:snapToGrid w:val="0"/>
        <w:spacing w:line="288" w:lineRule="auto"/>
        <w:ind w:right="26" w:firstLine="400" w:firstLineChars="200"/>
        <w:rPr>
          <w:sz w:val="20"/>
          <w:szCs w:val="20"/>
          <w:highlight w:val="none"/>
        </w:rPr>
      </w:pPr>
      <w:r>
        <w:rPr>
          <w:rFonts w:hint="eastAsia"/>
          <w:sz w:val="20"/>
          <w:szCs w:val="20"/>
          <w:highlight w:val="none"/>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highlight w:val="none"/>
              </w:rPr>
            </w:pPr>
            <w:r>
              <w:rPr>
                <w:rFonts w:hint="eastAsia" w:ascii="宋体" w:hAnsi="宋体"/>
                <w:sz w:val="20"/>
                <w:szCs w:val="20"/>
                <w:highlight w:val="none"/>
              </w:rPr>
              <w:t>实验</w:t>
            </w:r>
          </w:p>
          <w:p>
            <w:pPr>
              <w:snapToGrid w:val="0"/>
              <w:jc w:val="center"/>
              <w:rPr>
                <w:rFonts w:ascii="宋体"/>
                <w:sz w:val="20"/>
                <w:szCs w:val="20"/>
                <w:highlight w:val="none"/>
              </w:rPr>
            </w:pPr>
            <w:r>
              <w:rPr>
                <w:rFonts w:hint="eastAsia" w:ascii="宋体" w:hAnsi="宋体"/>
                <w:sz w:val="20"/>
                <w:szCs w:val="20"/>
                <w:highlight w:val="none"/>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sz w:val="20"/>
                <w:szCs w:val="20"/>
                <w:highlight w:val="none"/>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highlight w:val="none"/>
              </w:rPr>
            </w:pPr>
            <w:r>
              <w:rPr>
                <w:rFonts w:hint="eastAsia" w:ascii="宋体" w:hAnsi="宋体"/>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highlight w:val="none"/>
              </w:rPr>
            </w:pPr>
          </w:p>
        </w:tc>
      </w:tr>
    </w:tbl>
    <w:p>
      <w:pPr>
        <w:snapToGrid w:val="0"/>
        <w:spacing w:line="288" w:lineRule="auto"/>
        <w:ind w:right="2520" w:firstLine="400" w:firstLineChars="200"/>
        <w:rPr>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lang w:val="en-US" w:eastAsia="zh-CN"/>
        </w:rPr>
        <w:t>七</w:t>
      </w:r>
      <w:r>
        <w:rPr>
          <w:rFonts w:hint="eastAsia" w:ascii="黑体" w:hAnsi="宋体" w:eastAsia="黑体"/>
          <w:sz w:val="24"/>
          <w:highlight w:val="none"/>
        </w:rPr>
        <w:t>、实践环节各阶段名称及基本要求（选填，适用于集中实践、实习、毕业设计等）</w:t>
      </w:r>
    </w:p>
    <w:p>
      <w:pPr>
        <w:snapToGrid w:val="0"/>
        <w:spacing w:line="288" w:lineRule="auto"/>
        <w:ind w:right="26" w:firstLine="400" w:firstLineChars="200"/>
        <w:rPr>
          <w:rFonts w:ascii="宋体" w:hAnsi="宋体"/>
          <w:sz w:val="20"/>
          <w:szCs w:val="20"/>
          <w:highlight w:val="none"/>
        </w:rPr>
      </w:pPr>
      <w:r>
        <w:rPr>
          <w:rFonts w:hint="eastAsia" w:ascii="宋体" w:hAnsi="宋体"/>
          <w:sz w:val="20"/>
          <w:szCs w:val="20"/>
          <w:highlight w:val="none"/>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highlight w:val="none"/>
              </w:rPr>
            </w:pPr>
            <w:r>
              <w:rPr>
                <w:rFonts w:hint="eastAsia" w:ascii="宋体" w:hAnsi="宋体"/>
                <w:sz w:val="20"/>
                <w:szCs w:val="20"/>
                <w:highlight w:val="none"/>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highlight w:val="none"/>
              </w:rPr>
            </w:pPr>
            <w:r>
              <w:rPr>
                <w:rFonts w:hint="eastAsia" w:ascii="宋体" w:hAnsi="宋体"/>
                <w:sz w:val="20"/>
                <w:szCs w:val="20"/>
                <w:highlight w:val="none"/>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highlight w:val="none"/>
              </w:rPr>
            </w:pPr>
            <w:r>
              <w:rPr>
                <w:rFonts w:hint="eastAsia" w:ascii="宋体" w:hAnsi="宋体"/>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highlight w:val="none"/>
              </w:rPr>
            </w:pPr>
          </w:p>
        </w:tc>
      </w:tr>
    </w:tbl>
    <w:p>
      <w:pPr>
        <w:snapToGrid w:val="0"/>
        <w:spacing w:line="288" w:lineRule="auto"/>
        <w:ind w:right="2520"/>
        <w:rPr>
          <w:rFonts w:hint="eastAsia" w:ascii="黑体" w:hAnsi="宋体" w:eastAsia="黑体"/>
          <w:sz w:val="24"/>
          <w:highlight w:val="none"/>
          <w:lang w:val="en-US" w:eastAsia="zh-CN"/>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184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1</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eastAsia="宋体"/>
                <w:bCs/>
                <w:color w:val="000000"/>
                <w:szCs w:val="20"/>
                <w:highlight w:val="none"/>
                <w:lang w:val="en-US" w:eastAsia="zh-CN"/>
              </w:rPr>
              <w:t>笔试（闭卷）</w:t>
            </w:r>
          </w:p>
        </w:tc>
        <w:tc>
          <w:tcPr>
            <w:tcW w:w="1843" w:type="dxa"/>
            <w:shd w:val="clear" w:color="auto" w:fill="auto"/>
          </w:tcPr>
          <w:p>
            <w:pPr>
              <w:snapToGrid w:val="0"/>
              <w:spacing w:beforeLines="50" w:afterLines="50"/>
              <w:jc w:val="center"/>
              <w:rPr>
                <w:rFonts w:hint="eastAsia"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eastAsia="宋体"/>
                <w:bCs/>
                <w:color w:val="000000"/>
                <w:szCs w:val="20"/>
                <w:highlight w:val="none"/>
                <w:lang w:val="en-US" w:eastAsia="zh-CN"/>
              </w:rPr>
              <w:t>口头报告</w:t>
            </w:r>
          </w:p>
        </w:tc>
        <w:tc>
          <w:tcPr>
            <w:tcW w:w="1843" w:type="dxa"/>
            <w:shd w:val="clear" w:color="auto" w:fill="auto"/>
          </w:tcPr>
          <w:p>
            <w:pPr>
              <w:snapToGrid w:val="0"/>
              <w:spacing w:beforeLines="50" w:afterLines="50"/>
              <w:jc w:val="center"/>
              <w:rPr>
                <w:rFonts w:hint="eastAsia"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eastAsia="宋体"/>
                <w:bCs/>
                <w:color w:val="000000"/>
                <w:szCs w:val="20"/>
                <w:highlight w:val="none"/>
                <w:lang w:val="en-US" w:eastAsia="zh-CN"/>
              </w:rPr>
              <w:t>课堂参与</w:t>
            </w:r>
          </w:p>
        </w:tc>
        <w:tc>
          <w:tcPr>
            <w:tcW w:w="1843" w:type="dxa"/>
            <w:shd w:val="clear" w:color="auto" w:fill="auto"/>
          </w:tcPr>
          <w:p>
            <w:pPr>
              <w:snapToGrid w:val="0"/>
              <w:spacing w:beforeLines="50" w:afterLines="50"/>
              <w:jc w:val="center"/>
              <w:rPr>
                <w:rFonts w:hint="eastAsia"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X3</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eastAsia="宋体"/>
                <w:bCs/>
                <w:color w:val="000000"/>
                <w:szCs w:val="20"/>
                <w:highlight w:val="none"/>
                <w:lang w:val="en-US" w:eastAsia="zh-CN"/>
              </w:rPr>
              <w:t>书面作业</w:t>
            </w:r>
          </w:p>
        </w:tc>
        <w:tc>
          <w:tcPr>
            <w:tcW w:w="1843" w:type="dxa"/>
            <w:shd w:val="clear" w:color="auto" w:fill="auto"/>
          </w:tcPr>
          <w:p>
            <w:pPr>
              <w:snapToGrid w:val="0"/>
              <w:spacing w:beforeLines="50" w:afterLines="50"/>
              <w:jc w:val="center"/>
              <w:rPr>
                <w:rFonts w:hint="eastAsia"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10%</w:t>
            </w:r>
          </w:p>
        </w:tc>
      </w:tr>
    </w:tbl>
    <w:p>
      <w:pPr>
        <w:snapToGrid w:val="0"/>
        <w:spacing w:line="288" w:lineRule="auto"/>
        <w:ind w:right="2520" w:firstLine="480" w:firstLineChars="200"/>
        <w:rPr>
          <w:sz w:val="20"/>
          <w:szCs w:val="20"/>
          <w:highlight w:val="none"/>
        </w:rPr>
      </w:pPr>
      <w:r>
        <w:rPr>
          <w:rFonts w:hint="eastAsia" w:ascii="黑体" w:hAnsi="宋体" w:eastAsia="黑体"/>
          <w:sz w:val="24"/>
          <w:highlight w:val="none"/>
          <w:lang w:val="en-US" w:eastAsia="zh-CN"/>
        </w:rPr>
        <w:t>八</w:t>
      </w:r>
      <w:r>
        <w:rPr>
          <w:rFonts w:hint="eastAsia" w:ascii="黑体" w:hAnsi="宋体" w:eastAsia="黑体"/>
          <w:sz w:val="24"/>
          <w:highlight w:val="none"/>
        </w:rPr>
        <w:t>、评价方式与成绩</w:t>
      </w:r>
      <w:bookmarkStart w:id="3" w:name="_GoBack"/>
      <w:bookmarkEnd w:id="3"/>
    </w:p>
    <w:p>
      <w:pPr>
        <w:widowControl/>
        <w:spacing w:beforeLines="50" w:afterLines="50" w:line="288" w:lineRule="auto"/>
        <w:jc w:val="left"/>
        <w:rPr>
          <w:rFonts w:ascii="黑体" w:hAnsi="宋体" w:eastAsia="黑体"/>
          <w:sz w:val="24"/>
          <w:highlight w:val="none"/>
        </w:rPr>
      </w:pPr>
    </w:p>
    <w:p>
      <w:pPr>
        <w:snapToGrid w:val="0"/>
        <w:spacing w:beforeLines="50" w:line="288" w:lineRule="auto"/>
        <w:ind w:firstLine="400" w:firstLineChars="200"/>
        <w:rPr>
          <w:rFonts w:ascii="宋体" w:hAnsi="宋体"/>
          <w:sz w:val="20"/>
          <w:szCs w:val="20"/>
          <w:highlight w:val="none"/>
        </w:rPr>
      </w:pPr>
      <w:r>
        <w:rPr>
          <w:rFonts w:hint="eastAsia" w:ascii="宋体" w:hAnsi="宋体"/>
          <w:sz w:val="20"/>
          <w:szCs w:val="20"/>
          <w:highlight w:val="none"/>
        </w:rPr>
        <w:t>“</w:t>
      </w:r>
      <w:r>
        <w:rPr>
          <w:rFonts w:ascii="宋体" w:hAnsi="宋体"/>
          <w:sz w:val="20"/>
          <w:szCs w:val="20"/>
          <w:highlight w:val="none"/>
        </w:rPr>
        <w:t>1</w:t>
      </w:r>
      <w:r>
        <w:rPr>
          <w:rFonts w:hint="eastAsia" w:ascii="宋体" w:hAnsi="宋体"/>
          <w:sz w:val="20"/>
          <w:szCs w:val="20"/>
          <w:highlight w:val="none"/>
        </w:rPr>
        <w:t>”一般为总结性评价, “</w:t>
      </w:r>
      <w:r>
        <w:rPr>
          <w:rFonts w:ascii="宋体" w:hAnsi="宋体"/>
          <w:sz w:val="20"/>
          <w:szCs w:val="20"/>
          <w:highlight w:val="none"/>
        </w:rPr>
        <w:t>X</w:t>
      </w:r>
      <w:r>
        <w:rPr>
          <w:rFonts w:hint="eastAsia" w:ascii="宋体" w:hAnsi="宋体"/>
          <w:sz w:val="20"/>
          <w:szCs w:val="20"/>
          <w:highlight w:val="none"/>
        </w:rPr>
        <w:t>”为过程性评价，“</w:t>
      </w:r>
      <w:r>
        <w:rPr>
          <w:rFonts w:ascii="宋体" w:hAnsi="宋体"/>
          <w:sz w:val="20"/>
          <w:szCs w:val="20"/>
          <w:highlight w:val="none"/>
        </w:rPr>
        <w:t>X</w:t>
      </w:r>
      <w:r>
        <w:rPr>
          <w:rFonts w:hint="eastAsia" w:ascii="宋体" w:hAnsi="宋体"/>
          <w:sz w:val="20"/>
          <w:szCs w:val="20"/>
          <w:highlight w:val="none"/>
        </w:rPr>
        <w:t>”的</w:t>
      </w:r>
      <w:r>
        <w:rPr>
          <w:rFonts w:hint="eastAsia"/>
          <w:color w:val="000000"/>
          <w:sz w:val="20"/>
          <w:szCs w:val="20"/>
          <w:highlight w:val="none"/>
        </w:rPr>
        <w:t>次数一般不少于3次，无论是</w:t>
      </w:r>
      <w:r>
        <w:rPr>
          <w:rFonts w:hint="eastAsia" w:ascii="宋体" w:hAnsi="宋体"/>
          <w:sz w:val="20"/>
          <w:szCs w:val="20"/>
          <w:highlight w:val="none"/>
        </w:rPr>
        <w:t>“</w:t>
      </w:r>
      <w:r>
        <w:rPr>
          <w:rFonts w:ascii="宋体" w:hAnsi="宋体"/>
          <w:sz w:val="20"/>
          <w:szCs w:val="20"/>
          <w:highlight w:val="none"/>
        </w:rPr>
        <w:t>1</w:t>
      </w:r>
      <w:r>
        <w:rPr>
          <w:rFonts w:hint="eastAsia" w:ascii="宋体" w:hAnsi="宋体"/>
          <w:sz w:val="20"/>
          <w:szCs w:val="20"/>
          <w:highlight w:val="none"/>
        </w:rPr>
        <w:t>”、还是“</w:t>
      </w:r>
      <w:r>
        <w:rPr>
          <w:rFonts w:ascii="宋体" w:hAnsi="宋体"/>
          <w:sz w:val="20"/>
          <w:szCs w:val="20"/>
          <w:highlight w:val="none"/>
        </w:rPr>
        <w:t>X</w:t>
      </w:r>
      <w:r>
        <w:rPr>
          <w:rFonts w:hint="eastAsia" w:ascii="宋体" w:hAnsi="宋体"/>
          <w:sz w:val="20"/>
          <w:szCs w:val="20"/>
          <w:highlight w:val="none"/>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highlight w:val="none"/>
        </w:rPr>
      </w:pPr>
      <w:r>
        <w:rPr>
          <w:rFonts w:hint="eastAsia"/>
          <w:color w:val="000000"/>
          <w:sz w:val="20"/>
          <w:szCs w:val="20"/>
          <w:highlight w:val="none"/>
        </w:rPr>
        <w:t>常用</w:t>
      </w:r>
      <w:r>
        <w:rPr>
          <w:color w:val="000000"/>
          <w:sz w:val="20"/>
          <w:szCs w:val="20"/>
          <w:highlight w:val="none"/>
        </w:rPr>
        <w:t>的</w:t>
      </w:r>
      <w:r>
        <w:rPr>
          <w:rFonts w:hint="eastAsia"/>
          <w:color w:val="000000"/>
          <w:sz w:val="20"/>
          <w:szCs w:val="20"/>
          <w:highlight w:val="none"/>
        </w:rPr>
        <w:t>评价</w:t>
      </w:r>
      <w:r>
        <w:rPr>
          <w:color w:val="000000"/>
          <w:sz w:val="20"/>
          <w:szCs w:val="20"/>
          <w:highlight w:val="none"/>
        </w:rPr>
        <w:t>方式</w:t>
      </w:r>
      <w:r>
        <w:rPr>
          <w:rFonts w:hint="eastAsia"/>
          <w:color w:val="000000"/>
          <w:sz w:val="20"/>
          <w:szCs w:val="20"/>
          <w:highlight w:val="none"/>
        </w:rPr>
        <w:t>有</w:t>
      </w:r>
      <w:r>
        <w:rPr>
          <w:color w:val="000000"/>
          <w:sz w:val="20"/>
          <w:szCs w:val="20"/>
          <w:highlight w:val="none"/>
        </w:rPr>
        <w:t>：</w:t>
      </w:r>
      <w:r>
        <w:rPr>
          <w:rFonts w:hint="eastAsia" w:ascii="宋体" w:hAnsi="宋体"/>
          <w:sz w:val="20"/>
          <w:szCs w:val="20"/>
          <w:highlight w:val="none"/>
        </w:rPr>
        <w:t>课堂展示、口头</w:t>
      </w:r>
      <w:r>
        <w:rPr>
          <w:rFonts w:ascii="宋体" w:hAnsi="宋体"/>
          <w:sz w:val="20"/>
          <w:szCs w:val="20"/>
          <w:highlight w:val="none"/>
        </w:rPr>
        <w:t>报告、</w:t>
      </w:r>
      <w:r>
        <w:rPr>
          <w:rFonts w:hint="eastAsia" w:ascii="宋体" w:hAnsi="宋体"/>
          <w:sz w:val="20"/>
          <w:szCs w:val="20"/>
          <w:highlight w:val="none"/>
        </w:rPr>
        <w:t>论文、日志、反思</w:t>
      </w:r>
      <w:r>
        <w:rPr>
          <w:rFonts w:ascii="宋体" w:hAnsi="宋体"/>
          <w:sz w:val="20"/>
          <w:szCs w:val="20"/>
          <w:highlight w:val="none"/>
        </w:rPr>
        <w:t>、</w:t>
      </w:r>
      <w:r>
        <w:rPr>
          <w:rFonts w:hint="eastAsia" w:ascii="宋体" w:hAnsi="宋体"/>
          <w:sz w:val="20"/>
          <w:szCs w:val="20"/>
          <w:highlight w:val="none"/>
        </w:rPr>
        <w:t>调查报告、个人项目报告、小组</w:t>
      </w:r>
      <w:r>
        <w:rPr>
          <w:rFonts w:ascii="宋体" w:hAnsi="宋体"/>
          <w:sz w:val="20"/>
          <w:szCs w:val="20"/>
          <w:highlight w:val="none"/>
        </w:rPr>
        <w:t>项目报告、</w:t>
      </w:r>
      <w:r>
        <w:rPr>
          <w:rFonts w:hint="eastAsia" w:ascii="宋体" w:hAnsi="宋体"/>
          <w:sz w:val="20"/>
          <w:szCs w:val="20"/>
          <w:highlight w:val="none"/>
        </w:rPr>
        <w:t>实验报告、读书报告、作品（选集</w:t>
      </w:r>
      <w:r>
        <w:rPr>
          <w:rFonts w:ascii="宋体" w:hAnsi="宋体"/>
          <w:sz w:val="20"/>
          <w:szCs w:val="20"/>
          <w:highlight w:val="none"/>
        </w:rPr>
        <w:t>）</w:t>
      </w:r>
      <w:r>
        <w:rPr>
          <w:rFonts w:hint="eastAsia" w:ascii="宋体" w:hAnsi="宋体"/>
          <w:sz w:val="20"/>
          <w:szCs w:val="20"/>
          <w:highlight w:val="none"/>
        </w:rPr>
        <w:t>、口试、课堂小测验、</w:t>
      </w:r>
      <w:r>
        <w:rPr>
          <w:rFonts w:ascii="宋体" w:hAnsi="宋体"/>
          <w:sz w:val="20"/>
          <w:szCs w:val="20"/>
          <w:highlight w:val="none"/>
        </w:rPr>
        <w:t>期终闭卷考、期终开卷考、</w:t>
      </w:r>
      <w:r>
        <w:rPr>
          <w:rFonts w:hint="eastAsia" w:ascii="宋体" w:hAnsi="宋体"/>
          <w:sz w:val="20"/>
          <w:szCs w:val="20"/>
          <w:highlight w:val="none"/>
        </w:rPr>
        <w:t>工作</w:t>
      </w:r>
      <w:r>
        <w:rPr>
          <w:rFonts w:ascii="宋体" w:hAnsi="宋体"/>
          <w:sz w:val="20"/>
          <w:szCs w:val="20"/>
          <w:highlight w:val="none"/>
        </w:rPr>
        <w:t>现场评估、</w:t>
      </w:r>
      <w:r>
        <w:rPr>
          <w:rFonts w:hint="eastAsia" w:ascii="宋体" w:hAnsi="宋体"/>
          <w:sz w:val="20"/>
          <w:szCs w:val="20"/>
          <w:highlight w:val="none"/>
        </w:rPr>
        <w:t>自我</w:t>
      </w:r>
      <w:r>
        <w:rPr>
          <w:rFonts w:ascii="宋体" w:hAnsi="宋体"/>
          <w:sz w:val="20"/>
          <w:szCs w:val="20"/>
          <w:highlight w:val="none"/>
        </w:rPr>
        <w:t>评估、</w:t>
      </w:r>
      <w:r>
        <w:rPr>
          <w:rFonts w:hint="eastAsia" w:ascii="宋体" w:hAnsi="宋体"/>
          <w:sz w:val="20"/>
          <w:szCs w:val="20"/>
          <w:highlight w:val="none"/>
        </w:rPr>
        <w:t>同辈</w:t>
      </w:r>
      <w:r>
        <w:rPr>
          <w:rFonts w:ascii="宋体" w:hAnsi="宋体"/>
          <w:sz w:val="20"/>
          <w:szCs w:val="20"/>
          <w:highlight w:val="none"/>
        </w:rPr>
        <w:t>评估</w:t>
      </w:r>
      <w:r>
        <w:rPr>
          <w:rFonts w:hint="eastAsia" w:ascii="宋体" w:hAnsi="宋体"/>
          <w:sz w:val="20"/>
          <w:szCs w:val="20"/>
          <w:highlight w:val="none"/>
        </w:rPr>
        <w:t>等等</w:t>
      </w:r>
      <w:r>
        <w:rPr>
          <w:rFonts w:ascii="宋体" w:hAnsi="宋体"/>
          <w:sz w:val="20"/>
          <w:szCs w:val="20"/>
          <w:highlight w:val="none"/>
        </w:rPr>
        <w:t>。</w:t>
      </w:r>
      <w:r>
        <w:rPr>
          <w:rFonts w:hint="eastAsia" w:ascii="宋体" w:hAnsi="宋体"/>
          <w:b/>
          <w:sz w:val="20"/>
          <w:szCs w:val="20"/>
          <w:highlight w:val="none"/>
        </w:rPr>
        <w:t>一般课外扩展阅读的检查评价应该成为“X”中的一部分。</w:t>
      </w:r>
    </w:p>
    <w:p>
      <w:pPr>
        <w:snapToGrid w:val="0"/>
        <w:spacing w:before="120" w:after="120" w:line="288" w:lineRule="auto"/>
        <w:ind w:firstLine="400" w:firstLineChars="200"/>
        <w:rPr>
          <w:rFonts w:ascii="宋体" w:hAnsi="宋体"/>
          <w:sz w:val="20"/>
          <w:szCs w:val="20"/>
          <w:highlight w:val="none"/>
        </w:rPr>
      </w:pPr>
      <w:r>
        <w:rPr>
          <w:rFonts w:hint="eastAsia" w:ascii="宋体" w:hAnsi="宋体"/>
          <w:sz w:val="20"/>
          <w:szCs w:val="20"/>
          <w:highlight w:val="none"/>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none"/>
        </w:rPr>
      </w:pPr>
    </w:p>
    <w:p>
      <w:pPr>
        <w:snapToGrid w:val="0"/>
        <w:spacing w:before="120" w:after="120" w:line="288" w:lineRule="auto"/>
        <w:ind w:firstLine="400" w:firstLineChars="200"/>
        <w:rPr>
          <w:rFonts w:ascii="宋体" w:hAnsi="宋体"/>
          <w:sz w:val="20"/>
          <w:szCs w:val="20"/>
          <w:highlight w:val="none"/>
        </w:rPr>
      </w:pPr>
    </w:p>
    <w:p>
      <w:pPr>
        <w:snapToGrid w:val="0"/>
        <w:spacing w:line="288" w:lineRule="auto"/>
        <w:ind w:firstLine="840" w:firstLineChars="300"/>
        <w:rPr>
          <w:sz w:val="28"/>
          <w:szCs w:val="28"/>
          <w:highlight w:val="none"/>
        </w:rPr>
      </w:pPr>
      <w:r>
        <w:rPr>
          <w:rFonts w:hint="eastAsia"/>
          <w:sz w:val="28"/>
          <w:szCs w:val="28"/>
          <w:highlight w:val="none"/>
        </w:rPr>
        <w:t>撰写人：</w:t>
      </w:r>
      <w:r>
        <w:rPr>
          <w:rFonts w:hint="eastAsia"/>
          <w:sz w:val="28"/>
          <w:szCs w:val="28"/>
          <w:highlight w:val="none"/>
          <w:lang w:val="en-US" w:eastAsia="zh-CN"/>
        </w:rPr>
        <w:t xml:space="preserve">马晓彦                         </w:t>
      </w:r>
      <w:r>
        <w:rPr>
          <w:rFonts w:hint="eastAsia"/>
          <w:sz w:val="28"/>
          <w:szCs w:val="28"/>
          <w:highlight w:val="none"/>
        </w:rPr>
        <w:t>系主任审核签名：</w:t>
      </w:r>
    </w:p>
    <w:p>
      <w:pPr>
        <w:snapToGrid w:val="0"/>
        <w:spacing w:line="288" w:lineRule="auto"/>
        <w:ind w:firstLine="840" w:firstLineChars="300"/>
        <w:rPr>
          <w:sz w:val="28"/>
          <w:szCs w:val="28"/>
          <w:highlight w:val="none"/>
        </w:rPr>
      </w:pPr>
      <w:r>
        <w:rPr>
          <w:rFonts w:hint="eastAsia"/>
          <w:sz w:val="28"/>
          <w:szCs w:val="28"/>
          <w:highlight w:val="none"/>
        </w:rPr>
        <w:t>审核时间：</w:t>
      </w:r>
      <w:r>
        <w:rPr>
          <w:rFonts w:hint="eastAsia"/>
          <w:sz w:val="28"/>
          <w:szCs w:val="28"/>
          <w:highlight w:val="none"/>
          <w:lang w:val="en-US" w:eastAsia="zh-CN"/>
        </w:rPr>
        <w:t xml:space="preserve">                       </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3EF421D"/>
    <w:rsid w:val="09F82CCA"/>
    <w:rsid w:val="0A8128A6"/>
    <w:rsid w:val="0BF32A1B"/>
    <w:rsid w:val="10BD2C22"/>
    <w:rsid w:val="14255B23"/>
    <w:rsid w:val="1B8148F2"/>
    <w:rsid w:val="21DF1034"/>
    <w:rsid w:val="22987C80"/>
    <w:rsid w:val="24192CCC"/>
    <w:rsid w:val="25704CF8"/>
    <w:rsid w:val="2B8E3D28"/>
    <w:rsid w:val="39A66CD4"/>
    <w:rsid w:val="3CC814B3"/>
    <w:rsid w:val="3CD52CE1"/>
    <w:rsid w:val="3D622CE5"/>
    <w:rsid w:val="40390A21"/>
    <w:rsid w:val="410F2E6A"/>
    <w:rsid w:val="4430136C"/>
    <w:rsid w:val="49BF66C6"/>
    <w:rsid w:val="4A6241C5"/>
    <w:rsid w:val="4AB0382B"/>
    <w:rsid w:val="4F056E9B"/>
    <w:rsid w:val="51F1114A"/>
    <w:rsid w:val="569868B5"/>
    <w:rsid w:val="58B538A8"/>
    <w:rsid w:val="611F6817"/>
    <w:rsid w:val="66CA1754"/>
    <w:rsid w:val="69CD76F0"/>
    <w:rsid w:val="6F1E65D4"/>
    <w:rsid w:val="6F266C86"/>
    <w:rsid w:val="6F5042C2"/>
    <w:rsid w:val="73C1357D"/>
    <w:rsid w:val="74316312"/>
    <w:rsid w:val="74720A72"/>
    <w:rsid w:val="75042C53"/>
    <w:rsid w:val="77D21AED"/>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2</TotalTime>
  <ScaleCrop>false</ScaleCrop>
  <LinksUpToDate>false</LinksUpToDate>
  <CharactersWithSpaces>1834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cp:lastModifiedBy>
  <dcterms:modified xsi:type="dcterms:W3CDTF">2018-09-10T07:34:03Z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