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>日本文化礼仪</w:t>
      </w:r>
      <w:r>
        <w:rPr>
          <w:rFonts w:ascii="黑体" w:hAnsi="黑体" w:eastAsia="黑体"/>
          <w:bCs/>
          <w:sz w:val="32"/>
          <w:szCs w:val="32"/>
        </w:rPr>
        <w:t xml:space="preserve">   </w:t>
      </w:r>
      <w:r>
        <w:rPr>
          <w:rFonts w:hint="eastAsia" w:ascii="黑体" w:hAnsi="黑体" w:eastAsia="黑体"/>
          <w:bCs/>
          <w:sz w:val="32"/>
          <w:szCs w:val="32"/>
        </w:rPr>
        <w:t>》</w:t>
      </w:r>
      <w:r>
        <w:rPr>
          <w:rFonts w:hint="eastAsia" w:ascii="黑体" w:hAnsi="黑体" w:eastAsia="黑体"/>
          <w:color w:val="000000"/>
          <w:sz w:val="32"/>
          <w:szCs w:val="32"/>
        </w:rPr>
        <w:t>专升本</w:t>
      </w:r>
      <w:r>
        <w:rPr>
          <w:rFonts w:hint="eastAsia" w:ascii="黑体" w:hAnsi="黑体" w:eastAsia="黑体"/>
          <w:bCs/>
          <w:sz w:val="32"/>
          <w:szCs w:val="32"/>
        </w:rPr>
        <w:t>课程教学大纲</w:t>
      </w:r>
    </w:p>
    <w:p w14:paraId="6ECD570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F3F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0D10A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09C107"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sz w:val="21"/>
                <w:szCs w:val="21"/>
              </w:rPr>
              <w:t>日本文化礼仪</w:t>
            </w:r>
          </w:p>
        </w:tc>
      </w:tr>
      <w:tr w14:paraId="58C5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206D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1BC1D85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 w:cs="Times New Roman"/>
              </w:rPr>
              <w:t>Japanese cultural etiquette</w:t>
            </w:r>
          </w:p>
        </w:tc>
      </w:tr>
      <w:tr w14:paraId="4EA4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F871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>
            <w:pPr>
              <w:widowControl w:val="0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1020035</w:t>
            </w:r>
          </w:p>
        </w:tc>
        <w:tc>
          <w:tcPr>
            <w:tcW w:w="2126" w:type="dxa"/>
            <w:gridSpan w:val="2"/>
            <w:vAlign w:val="center"/>
          </w:tcPr>
          <w:p w14:paraId="066EC9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333A096">
            <w:pPr>
              <w:widowControl w:val="0"/>
              <w:jc w:val="center"/>
              <w:rPr>
                <w:rFonts w:ascii="Times New Roman" w:hAnsi="Times New Roman" w:eastAsia="MS Mincho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MS Mincho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44B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5B68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>
            <w:pPr>
              <w:widowControl w:val="0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C85515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>
            <w:pPr>
              <w:widowControl w:val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4EB60CA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C369051">
            <w:pPr>
              <w:widowControl w:val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0C7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BEEB0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74D550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679FC0C">
            <w:pPr>
              <w:widowControl w:val="0"/>
              <w:jc w:val="center"/>
              <w:rPr>
                <w:rFonts w:eastAsia="MS Mincho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日语专业专升本</w:t>
            </w:r>
            <w:r>
              <w:rPr>
                <w:rFonts w:hint="eastAsia" w:ascii="MS Mincho" w:hAnsi="MS Mincho" w:eastAsia="MS Mincho"/>
                <w:color w:val="000000"/>
                <w:sz w:val="21"/>
                <w:szCs w:val="21"/>
              </w:rPr>
              <w:t>班</w:t>
            </w:r>
            <w:r>
              <w:rPr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二</w:t>
            </w:r>
            <w:r>
              <w:rPr>
                <w:sz w:val="21"/>
                <w:szCs w:val="21"/>
              </w:rPr>
              <w:t>学期</w:t>
            </w:r>
          </w:p>
        </w:tc>
      </w:tr>
      <w:tr w14:paraId="0376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CF26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专业课程选修课</w:t>
            </w:r>
          </w:p>
        </w:tc>
        <w:tc>
          <w:tcPr>
            <w:tcW w:w="2126" w:type="dxa"/>
            <w:gridSpan w:val="2"/>
            <w:vAlign w:val="center"/>
          </w:tcPr>
          <w:p w14:paraId="4AAB6BF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D5A7CE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</w:tr>
      <w:tr w14:paraId="4385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F32D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>
            <w:pPr>
              <w:widowControl w:val="0"/>
              <w:jc w:val="left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《职场日本语 商务礼仪篇》釜渕优子</w:t>
            </w:r>
            <w:r>
              <w:rPr>
                <w:rFonts w:hint="eastAsia" w:eastAsia="MS Mincho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上海译文出版社</w:t>
            </w:r>
            <w:r>
              <w:rPr>
                <w:rFonts w:hint="eastAsia" w:eastAsia="MS Mincho"/>
                <w:sz w:val="21"/>
                <w:szCs w:val="21"/>
              </w:rPr>
              <w:t>,</w:t>
            </w:r>
            <w:r>
              <w:rPr>
                <w:rFonts w:ascii="Times New Roman" w:hAnsi="Times New Roman" w:eastAsia="MS Mincho" w:cs="Times New Roman"/>
                <w:sz w:val="21"/>
                <w:szCs w:val="21"/>
              </w:rPr>
              <w:t>2015</w:t>
            </w:r>
            <w:r>
              <w:rPr>
                <w:rFonts w:hint="eastAsia" w:eastAsia="MS Mincho"/>
                <w:sz w:val="21"/>
                <w:szCs w:val="21"/>
              </w:rPr>
              <w:t>年</w:t>
            </w:r>
            <w:r>
              <w:rPr>
                <w:rFonts w:ascii="Times New Roman" w:hAnsi="Times New Roman" w:eastAsia="MS Mincho" w:cs="Times New Roman"/>
                <w:sz w:val="21"/>
                <w:szCs w:val="21"/>
              </w:rPr>
              <w:t>2</w:t>
            </w:r>
            <w:r>
              <w:rPr>
                <w:rFonts w:hint="eastAsia" w:eastAsia="MS Mincho"/>
                <w:sz w:val="21"/>
                <w:szCs w:val="21"/>
              </w:rPr>
              <w:t>月,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ISBN9787532766741</w:t>
            </w:r>
          </w:p>
        </w:tc>
        <w:tc>
          <w:tcPr>
            <w:tcW w:w="1413" w:type="dxa"/>
            <w:gridSpan w:val="2"/>
            <w:vAlign w:val="center"/>
          </w:tcPr>
          <w:p w14:paraId="25D25D8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10C358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ACE32F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C56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B0D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F229263">
            <w:pPr>
              <w:pStyle w:val="14"/>
              <w:widowControl w:val="0"/>
              <w:jc w:val="both"/>
              <w:rPr>
                <w:rFonts w:asciiTheme="majorEastAsia" w:hAnsiTheme="majorEastAsia" w:eastAsiaTheme="majorEastAsia"/>
              </w:rPr>
            </w:pPr>
            <w:r>
              <w:rPr>
                <w:bCs/>
              </w:rPr>
              <w:t>基础日语</w:t>
            </w:r>
            <w:r>
              <w:rPr>
                <w:rFonts w:hint="eastAsia"/>
                <w:bCs/>
              </w:rPr>
              <w:t>（1）2020052（10）、基础日语（2）2020053（10）</w:t>
            </w:r>
          </w:p>
        </w:tc>
      </w:tr>
      <w:tr w14:paraId="1C8B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8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64801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AB14658">
            <w:pPr>
              <w:widowControl w:val="0"/>
              <w:snapToGrid w:val="0"/>
              <w:spacing w:line="276" w:lineRule="auto"/>
              <w:ind w:firstLine="210" w:firstLineChars="100"/>
              <w:jc w:val="both"/>
              <w:rPr>
                <w:rFonts w:cs="Times New Roman" w:asciiTheme="majorEastAsia" w:hAnsiTheme="majorEastAsia" w:eastAsiaTheme="major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1"/>
                <w:szCs w:val="21"/>
                <w:lang w:eastAsia="ja-JP"/>
              </w:rPr>
              <w:t>本</w:t>
            </w:r>
            <w:r>
              <w:rPr>
                <w:rFonts w:hint="eastAsia" w:eastAsia="MS Mincho" w:cs="Times New Roman" w:asciiTheme="majorEastAsia" w:hAnsiTheme="majorEastAsia"/>
                <w:color w:val="000000"/>
                <w:sz w:val="21"/>
                <w:szCs w:val="21"/>
                <w:lang w:eastAsia="ja-JP"/>
              </w:rPr>
              <w:t>課程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1"/>
                <w:szCs w:val="21"/>
                <w:lang w:eastAsia="ja-JP"/>
              </w:rPr>
              <w:t>は</w:t>
            </w:r>
            <w:r>
              <w:rPr>
                <w:rFonts w:hint="eastAsia" w:ascii="MS Mincho" w:hAnsi="MS Mincho" w:eastAsia="MS Mincho" w:cs="Times New Roman"/>
                <w:color w:val="000000"/>
                <w:sz w:val="21"/>
                <w:szCs w:val="21"/>
                <w:lang w:eastAsia="ja-JP"/>
              </w:rPr>
              <w:t>日本語専攻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专升本</w:t>
            </w:r>
            <w:r>
              <w:rPr>
                <w:rFonts w:hint="eastAsia" w:ascii="MS Mincho" w:hAnsi="MS Mincho" w:eastAsia="MS Mincho"/>
                <w:color w:val="000000"/>
                <w:sz w:val="21"/>
                <w:szCs w:val="21"/>
                <w:lang w:eastAsia="ja-JP"/>
              </w:rPr>
              <w:t>班の後期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1"/>
                <w:szCs w:val="21"/>
                <w:lang w:eastAsia="ja-JP"/>
              </w:rPr>
              <w:t>の選択授業である。本</w:t>
            </w:r>
            <w:r>
              <w:rPr>
                <w:rFonts w:hint="eastAsia" w:eastAsia="MS Mincho" w:cs="Times New Roman" w:asciiTheme="majorEastAsia" w:hAnsiTheme="majorEastAsia"/>
                <w:color w:val="000000"/>
                <w:sz w:val="21"/>
                <w:szCs w:val="21"/>
                <w:lang w:eastAsia="ja-JP"/>
              </w:rPr>
              <w:t>課程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1"/>
                <w:szCs w:val="21"/>
                <w:lang w:eastAsia="ja-JP"/>
              </w:rPr>
              <w:t>では今後の日本への留学や、日本企業への就職などの実践的な場面で役に立ち、相手に好印象を与えることのできるマナーを、その場に適した方法で行うことを目標とし、様々な場面での日本のマナー(特に仕事上の)について、具体的な手順、例を挙げて紹介し、実践練習を通して身につけることを目的とする。また、それぞれのマナーの成り立ちを考えることで、日本人の考え方なども分析し、理解を深めることも目標とする。</w:t>
            </w:r>
          </w:p>
          <w:p w14:paraId="2F9259C8">
            <w:pPr>
              <w:widowControl w:val="0"/>
              <w:adjustRightInd w:val="0"/>
              <w:snapToGrid w:val="0"/>
              <w:spacing w:line="300" w:lineRule="auto"/>
              <w:ind w:firstLine="420" w:firstLineChars="20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14:paraId="4D30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242B1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C95E2F3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本课程适合以日语为主要学习课程的学生。学习当该课程的学生必需具有一定的日语基础 知识，以二、三年级的学生为宜。</w:t>
            </w:r>
          </w:p>
        </w:tc>
      </w:tr>
      <w:tr w14:paraId="3B9F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3AA12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C456D45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73025</wp:posOffset>
                  </wp:positionV>
                  <wp:extent cx="749300" cy="247650"/>
                  <wp:effectExtent l="0" t="0" r="12700" b="0"/>
                  <wp:wrapNone/>
                  <wp:docPr id="11607448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7448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02" cy="25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7592E2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EEAAA95">
            <w:pPr>
              <w:widowControl w:val="0"/>
              <w:jc w:val="center"/>
              <w:rPr>
                <w:rFonts w:ascii="Times New Roman" w:hAnsi="Times New Roman" w:eastAsia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hAnsi="Times New Roman" w:eastAsia="MS Mincho"/>
                <w:color w:val="000000"/>
                <w:sz w:val="21"/>
                <w:szCs w:val="21"/>
                <w:lang w:eastAsia="ja-JP"/>
              </w:rPr>
              <w:t>02</w:t>
            </w: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5年2月</w:t>
            </w:r>
          </w:p>
        </w:tc>
      </w:tr>
      <w:tr w14:paraId="0717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1499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852170</wp:posOffset>
                  </wp:positionH>
                  <wp:positionV relativeFrom="paragraph">
                    <wp:posOffset>3175</wp:posOffset>
                  </wp:positionV>
                  <wp:extent cx="482600" cy="314325"/>
                  <wp:effectExtent l="0" t="0" r="12700" b="9525"/>
                  <wp:wrapNone/>
                  <wp:docPr id="2" name="图片 2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18025E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34D49D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hAnsi="Times New Roman" w:eastAsia="MS Mincho"/>
                <w:color w:val="000000"/>
                <w:sz w:val="21"/>
                <w:szCs w:val="21"/>
                <w:lang w:eastAsia="ja-JP"/>
              </w:rPr>
              <w:t>02</w:t>
            </w: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5年2月</w:t>
            </w:r>
          </w:p>
        </w:tc>
      </w:tr>
      <w:tr w14:paraId="4928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7487A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729524E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772795</wp:posOffset>
                  </wp:positionH>
                  <wp:positionV relativeFrom="paragraph">
                    <wp:posOffset>-27305</wp:posOffset>
                  </wp:positionV>
                  <wp:extent cx="756285" cy="302895"/>
                  <wp:effectExtent l="0" t="0" r="0" b="19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30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F4A333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65EC5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hAnsi="Times New Roman" w:eastAsia="MS Mincho"/>
                <w:color w:val="000000"/>
                <w:sz w:val="21"/>
                <w:szCs w:val="21"/>
                <w:lang w:eastAsia="ja-JP"/>
              </w:rPr>
              <w:t>02</w:t>
            </w: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5年2月</w:t>
            </w:r>
          </w:p>
        </w:tc>
      </w:tr>
    </w:tbl>
    <w:p w14:paraId="0E671D4E">
      <w:pPr>
        <w:spacing w:line="100" w:lineRule="exact"/>
        <w:rPr>
          <w:rFonts w:ascii="Arial" w:hAnsi="Arial" w:eastAsia="黑体"/>
        </w:rPr>
      </w:pPr>
    </w:p>
    <w:p w14:paraId="33F2E72F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FA1CB46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00BD7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3187CE9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1840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7F72240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了解中日两国的社会、文化及中日文化差异</w:t>
            </w:r>
            <w:r>
              <w:rPr>
                <w:rFonts w:hint="eastAsia" w:ascii="Calibri" w:hAnsi="Calibri" w:cs="Times New Roman"/>
              </w:rPr>
              <w:t>。</w:t>
            </w:r>
          </w:p>
        </w:tc>
      </w:tr>
      <w:tr w14:paraId="30B14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FB4ADE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3CE4CDA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了解中日两国的社会、文化及中日文化差异，</w:t>
            </w:r>
            <w:r>
              <w:t>取长补短，提高个人素质。</w:t>
            </w:r>
          </w:p>
        </w:tc>
      </w:tr>
      <w:tr w14:paraId="36B25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C1EFA3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71353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711466A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具有跨文化交际能力，掌握有效的认知、调控、交际策略和跨文化理解能力</w:t>
            </w:r>
            <w:r>
              <w:rPr>
                <w:bCs/>
              </w:rPr>
              <w:t>。</w:t>
            </w:r>
          </w:p>
        </w:tc>
      </w:tr>
      <w:tr w14:paraId="06EF8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6E2A7FF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FD61B1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3DA1BDF">
            <w:pPr>
              <w:snapToGrid w:val="0"/>
              <w:jc w:val="center"/>
              <w:rPr>
                <w:rFonts w:ascii="Arial" w:hAnsi="Arial" w:eastAsia="MS Mincho" w:cs="Arial"/>
                <w:bCs/>
                <w:color w:val="000000"/>
                <w:sz w:val="21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color w:val="000000"/>
                <w:sz w:val="21"/>
                <w:szCs w:val="18"/>
                <w:lang w:eastAsia="ja-JP"/>
              </w:rPr>
              <w:t>4</w:t>
            </w:r>
          </w:p>
        </w:tc>
        <w:tc>
          <w:tcPr>
            <w:tcW w:w="6306" w:type="dxa"/>
            <w:vAlign w:val="center"/>
          </w:tcPr>
          <w:p w14:paraId="616BFDAC">
            <w:pPr>
              <w:pStyle w:val="14"/>
              <w:jc w:val="left"/>
            </w:pPr>
            <w:r>
              <w:rPr>
                <w:bCs/>
              </w:rPr>
              <w:t>诚信尽责，为人诚实，信守承诺，勤奋努力，精益求精，勇于担责。</w:t>
            </w:r>
          </w:p>
        </w:tc>
      </w:tr>
    </w:tbl>
    <w:p w14:paraId="089BD5F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13DA0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55BF530">
            <w:pPr>
              <w:widowControl w:val="0"/>
              <w:tabs>
                <w:tab w:val="left" w:pos="4200"/>
              </w:tabs>
              <w:contextualSpacing/>
              <w:jc w:val="left"/>
              <w:rPr>
                <w:rFonts w:eastAsia="MS Mincho"/>
                <w:bCs/>
                <w:sz w:val="21"/>
                <w:szCs w:val="21"/>
              </w:rPr>
            </w:pPr>
            <w:r>
              <w:rPr>
                <w:rFonts w:ascii="Times New Roman" w:hAnsi="Times New Roman" w:eastAsia="MS Mincho" w:cs="Times New Roman"/>
                <w:sz w:val="21"/>
                <w:szCs w:val="21"/>
              </w:rPr>
              <w:t>LO1</w:t>
            </w:r>
            <w:r>
              <w:rPr>
                <w:rFonts w:hint="eastAsia" w:eastAsia="MS Mincho"/>
                <w:sz w:val="21"/>
                <w:szCs w:val="21"/>
              </w:rPr>
              <w:t>④</w:t>
            </w:r>
            <w:r>
              <w:rPr>
                <w:bCs/>
                <w:sz w:val="21"/>
                <w:szCs w:val="21"/>
              </w:rPr>
              <w:t xml:space="preserve">诚信尽责，为人诚实，信守承诺，勤奋努力，精益求精，勇于担责。 </w:t>
            </w:r>
          </w:p>
        </w:tc>
      </w:tr>
      <w:tr w14:paraId="644F6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E6C85A2">
            <w:pPr>
              <w:widowControl w:val="0"/>
              <w:tabs>
                <w:tab w:val="left" w:pos="4200"/>
              </w:tabs>
              <w:contextualSpacing/>
              <w:jc w:val="both"/>
              <w:rPr>
                <w:rFonts w:eastAsia="MS Mincho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LO</w:t>
            </w:r>
            <w:r>
              <w:rPr>
                <w:rFonts w:ascii="Times New Roman" w:hAnsi="Times New Roman" w:eastAsia="MS Mincho" w:cs="Times New Roman"/>
                <w:sz w:val="21"/>
                <w:szCs w:val="21"/>
              </w:rPr>
              <w:t>2</w:t>
            </w:r>
            <w:r>
              <w:rPr>
                <w:rFonts w:hint="eastAsia" w:eastAsia="MS Mincho" w:cs="Times New Roman"/>
                <w:sz w:val="21"/>
                <w:szCs w:val="21"/>
              </w:rPr>
              <w:t>④</w:t>
            </w:r>
            <w:r>
              <w:rPr>
                <w:rFonts w:hint="eastAsia"/>
                <w:bCs/>
                <w:sz w:val="21"/>
                <w:szCs w:val="21"/>
              </w:rPr>
              <w:t>了解中日两国的社会、文化及中日文化差异，具有良好的跨文化交际能力。</w:t>
            </w:r>
          </w:p>
        </w:tc>
      </w:tr>
      <w:tr w14:paraId="01230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4E2F022">
            <w:pPr>
              <w:pStyle w:val="14"/>
              <w:widowControl w:val="0"/>
              <w:contextualSpacing/>
              <w:jc w:val="left"/>
              <w:rPr>
                <w:rFonts w:ascii="宋体" w:hAnsi="宋体" w:eastAsiaTheme="minorEastAsia"/>
                <w:bCs/>
              </w:rPr>
            </w:pPr>
            <w:r>
              <w:rPr>
                <w:rFonts w:eastAsia="MS Mincho" w:cs="Times New Roman"/>
                <w:bCs/>
              </w:rPr>
              <w:t>LO3</w:t>
            </w:r>
            <w:r>
              <w:rPr>
                <w:rFonts w:hint="eastAsia" w:eastAsia="MS Mincho" w:cs="Times New Roman"/>
                <w:bCs/>
              </w:rPr>
              <w:t>①</w:t>
            </w:r>
            <w:r>
              <w:rPr>
                <w:bCs/>
              </w:rPr>
              <w:t>倾听他人意见、尊重他人观点、分析他人需求。</w:t>
            </w:r>
          </w:p>
        </w:tc>
      </w:tr>
      <w:tr w14:paraId="5FA78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6A47EF7">
            <w:pPr>
              <w:pStyle w:val="14"/>
              <w:widowControl w:val="0"/>
              <w:contextualSpacing/>
              <w:jc w:val="left"/>
              <w:rPr>
                <w:rFonts w:eastAsia="MS Mincho"/>
                <w:bCs/>
              </w:rPr>
            </w:pPr>
            <w:r>
              <w:rPr>
                <w:rFonts w:eastAsia="MS Mincho" w:cs="Times New Roman"/>
                <w:bCs/>
              </w:rPr>
              <w:t>LO</w:t>
            </w:r>
            <w:r>
              <w:rPr>
                <w:rFonts w:hint="eastAsia" w:eastAsia="MS Mincho" w:cs="Times New Roman"/>
                <w:bCs/>
              </w:rPr>
              <w:t>8②</w:t>
            </w:r>
            <w:r>
              <w:rPr>
                <w:bCs/>
              </w:rPr>
              <w:t>理解其他国家历史文化，有跨文化交流能力。</w:t>
            </w:r>
          </w:p>
        </w:tc>
      </w:tr>
    </w:tbl>
    <w:p w14:paraId="6A27BE0A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11"/>
        <w:gridCol w:w="864"/>
        <w:gridCol w:w="794"/>
        <w:gridCol w:w="4760"/>
        <w:gridCol w:w="1347"/>
      </w:tblGrid>
      <w:tr w14:paraId="323E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69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4B0D79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250B94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DE1400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8" w:type="dxa"/>
            <w:tcBorders>
              <w:top w:val="single" w:color="auto" w:sz="12" w:space="0"/>
            </w:tcBorders>
            <w:vAlign w:val="center"/>
          </w:tcPr>
          <w:p w14:paraId="2D9AEFC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ECB08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866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94D883D">
            <w:pPr>
              <w:pStyle w:val="14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844" w:type="dxa"/>
            <w:tcBorders>
              <w:left w:val="single" w:color="auto" w:sz="4" w:space="0"/>
            </w:tcBorders>
            <w:vAlign w:val="center"/>
          </w:tcPr>
          <w:p w14:paraId="4E705B2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MS Mincho" w:hAnsi="MS Mincho" w:eastAsia="MS Mincho" w:cs="Times New Roman"/>
                <w:bCs/>
                <w:lang w:eastAsia="ja-JP"/>
              </w:rPr>
              <w:t>④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765126D">
            <w:pPr>
              <w:pStyle w:val="14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48" w:type="dxa"/>
            <w:vAlign w:val="center"/>
          </w:tcPr>
          <w:p w14:paraId="61D5CC33">
            <w:pPr>
              <w:pStyle w:val="14"/>
              <w:jc w:val="left"/>
              <w:rPr>
                <w:rFonts w:ascii="宋体" w:hAnsi="宋体" w:eastAsia="MS Mincho"/>
                <w:bCs/>
              </w:rPr>
            </w:pPr>
            <w:r>
              <w:rPr>
                <w:rFonts w:hint="eastAsia" w:eastAsia="MS Mincho" w:cs="Times New Roman"/>
                <w:bCs/>
              </w:rPr>
              <w:t>4</w:t>
            </w:r>
            <w:r>
              <w:rPr>
                <w:rFonts w:eastAsia="MS Mincho" w:cs="Times New Roman"/>
                <w:bCs/>
              </w:rPr>
              <w:t>.</w:t>
            </w:r>
            <w:r>
              <w:t xml:space="preserve"> </w:t>
            </w:r>
            <w:r>
              <w:rPr>
                <w:bCs/>
              </w:rPr>
              <w:t>诚信尽责，为人诚实，信守承诺，勤奋努力，精益求精，勇于担责。</w:t>
            </w:r>
          </w:p>
        </w:tc>
        <w:tc>
          <w:tcPr>
            <w:tcW w:w="1315" w:type="dxa"/>
            <w:tcBorders>
              <w:right w:val="single" w:color="auto" w:sz="12" w:space="0"/>
            </w:tcBorders>
            <w:vAlign w:val="center"/>
          </w:tcPr>
          <w:p w14:paraId="62079831">
            <w:pPr>
              <w:pStyle w:val="14"/>
              <w:rPr>
                <w:rFonts w:ascii="宋体" w:hAnsi="宋体" w:eastAsia="MS Mincho"/>
                <w:bCs/>
                <w:lang w:eastAsia="ja-JP"/>
              </w:rPr>
            </w:pPr>
            <w:r>
              <w:rPr>
                <w:rFonts w:hint="eastAsia" w:ascii="宋体" w:hAnsi="宋体" w:eastAsia="MS Mincho"/>
                <w:bCs/>
                <w:lang w:eastAsia="ja-JP"/>
              </w:rPr>
              <w:t>1</w:t>
            </w:r>
            <w:r>
              <w:rPr>
                <w:rFonts w:ascii="宋体" w:hAnsi="宋体" w:eastAsia="MS Mincho"/>
                <w:bCs/>
                <w:lang w:eastAsia="ja-JP"/>
              </w:rPr>
              <w:t>00</w:t>
            </w:r>
          </w:p>
        </w:tc>
      </w:tr>
      <w:tr w14:paraId="6D99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83E9FB9">
            <w:pPr>
              <w:pStyle w:val="14"/>
              <w:rPr>
                <w:rFonts w:eastAsia="MS Mincho"/>
                <w:lang w:eastAsia="ja-JP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eastAsia="MS Mincho" w:cs="Times New Roman"/>
                <w:b/>
                <w:lang w:eastAsia="ja-JP"/>
              </w:rPr>
              <w:t>2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53567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MS Mincho" w:hAnsi="MS Mincho" w:eastAsia="MS Mincho" w:cs="Times New Roman"/>
                <w:bCs/>
                <w:lang w:eastAsia="ja-JP"/>
              </w:rPr>
              <w:t>④</w:t>
            </w:r>
          </w:p>
        </w:tc>
        <w:tc>
          <w:tcPr>
            <w:tcW w:w="775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2732953F">
            <w:pPr>
              <w:pStyle w:val="14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8" w:type="dxa"/>
            <w:tcBorders>
              <w:left w:val="double" w:color="auto" w:sz="4" w:space="0"/>
            </w:tcBorders>
            <w:vAlign w:val="center"/>
          </w:tcPr>
          <w:p w14:paraId="067AA3D9">
            <w:pPr>
              <w:pStyle w:val="14"/>
              <w:jc w:val="left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eastAsia="MS Mincho" w:cs="Times New Roman"/>
              </w:rPr>
              <w:t>1</w:t>
            </w:r>
            <w:r>
              <w:rPr>
                <w:rFonts w:cs="Times New Roman" w:eastAsiaTheme="majorEastAsia"/>
              </w:rPr>
              <w:t>.</w:t>
            </w:r>
            <w:r>
              <w:rPr>
                <w:rFonts w:hint="eastAsia" w:ascii="Calibri" w:hAnsi="Calibri" w:cs="Times New Roman"/>
              </w:rPr>
              <w:t xml:space="preserve"> </w:t>
            </w:r>
            <w:r>
              <w:rPr>
                <w:rFonts w:hint="eastAsia"/>
                <w:bCs/>
              </w:rPr>
              <w:t>了解中日两国的社会、文化及中日文化差异</w:t>
            </w:r>
            <w:r>
              <w:rPr>
                <w:rFonts w:hint="eastAsia" w:ascii="Calibri" w:hAnsi="Calibri" w:cs="Times New Roman"/>
              </w:rPr>
              <w:t>。</w:t>
            </w:r>
          </w:p>
        </w:tc>
        <w:tc>
          <w:tcPr>
            <w:tcW w:w="1315" w:type="dxa"/>
            <w:tcBorders>
              <w:right w:val="single" w:color="auto" w:sz="12" w:space="0"/>
            </w:tcBorders>
            <w:vAlign w:val="center"/>
          </w:tcPr>
          <w:p w14:paraId="29EC698A">
            <w:pPr>
              <w:pStyle w:val="14"/>
              <w:rPr>
                <w:rFonts w:ascii="宋体" w:hAnsi="宋体" w:eastAsia="MS Mincho"/>
                <w:bCs/>
                <w:lang w:eastAsia="ja-JP"/>
              </w:rPr>
            </w:pPr>
            <w:r>
              <w:rPr>
                <w:rFonts w:ascii="宋体" w:hAnsi="宋体" w:eastAsia="MS Mincho"/>
                <w:bCs/>
                <w:lang w:eastAsia="ja-JP"/>
              </w:rPr>
              <w:t>100</w:t>
            </w:r>
          </w:p>
        </w:tc>
      </w:tr>
      <w:tr w14:paraId="0F82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53DBE">
            <w:pPr>
              <w:pStyle w:val="14"/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LO3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00E932A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MS Mincho" w:hAnsi="MS Mincho" w:eastAsia="MS Mincho" w:cs="Times New Roman"/>
                <w:bCs/>
                <w:lang w:eastAsia="ja-JP"/>
              </w:rPr>
              <w:t>①</w:t>
            </w:r>
          </w:p>
        </w:tc>
        <w:tc>
          <w:tcPr>
            <w:tcW w:w="775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2A3096BD">
            <w:pPr>
              <w:pStyle w:val="14"/>
              <w:rPr>
                <w:rFonts w:ascii="宋体" w:hAnsi="宋体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648" w:type="dxa"/>
            <w:tcBorders>
              <w:bottom w:val="single" w:color="auto" w:sz="4" w:space="0"/>
            </w:tcBorders>
            <w:vAlign w:val="center"/>
          </w:tcPr>
          <w:p w14:paraId="25139A64">
            <w:pPr>
              <w:pStyle w:val="14"/>
              <w:jc w:val="left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eastAsia="MS Mincho" w:cs="Times New Roman"/>
              </w:rPr>
              <w:t>2</w:t>
            </w:r>
            <w:r>
              <w:rPr>
                <w:rFonts w:cs="Times New Roman" w:eastAsiaTheme="majorEastAsia"/>
              </w:rPr>
              <w:t>.</w:t>
            </w:r>
            <w:r>
              <w:t xml:space="preserve"> </w:t>
            </w:r>
            <w:r>
              <w:rPr>
                <w:rFonts w:hint="eastAsia"/>
                <w:bCs/>
              </w:rPr>
              <w:t>了解中日两国的社会、文化及中日文化差异，</w:t>
            </w:r>
            <w:r>
              <w:t>取长补短，提高个人素质。</w:t>
            </w:r>
          </w:p>
        </w:tc>
        <w:tc>
          <w:tcPr>
            <w:tcW w:w="131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C16BDF9">
            <w:pPr>
              <w:pStyle w:val="14"/>
              <w:rPr>
                <w:rFonts w:ascii="宋体" w:hAnsi="宋体" w:eastAsia="MS Mincho"/>
                <w:bCs/>
                <w:lang w:eastAsia="ja-JP"/>
              </w:rPr>
            </w:pPr>
            <w:r>
              <w:rPr>
                <w:rFonts w:hint="eastAsia" w:ascii="宋体" w:hAnsi="宋体" w:eastAsia="MS Mincho"/>
                <w:bCs/>
                <w:lang w:eastAsia="ja-JP"/>
              </w:rPr>
              <w:t>1</w:t>
            </w:r>
            <w:r>
              <w:rPr>
                <w:rFonts w:ascii="宋体" w:hAnsi="宋体" w:eastAsia="MS Mincho"/>
                <w:bCs/>
                <w:lang w:eastAsia="ja-JP"/>
              </w:rPr>
              <w:t>00</w:t>
            </w:r>
          </w:p>
        </w:tc>
      </w:tr>
      <w:tr w14:paraId="16D37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4A6A9CE6">
            <w:pPr>
              <w:pStyle w:val="14"/>
              <w:spacing w:line="480" w:lineRule="auto"/>
              <w:rPr>
                <w:rFonts w:eastAsia="MS Mincho" w:cs="Times New Roman"/>
                <w:b/>
                <w:lang w:eastAsia="ja-JP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eastAsia="MS Mincho" w:cs="Times New Roman"/>
                <w:b/>
                <w:lang w:eastAsia="ja-JP"/>
              </w:rPr>
              <w:t>8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7711EE2E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MS Mincho" w:hAnsi="MS Mincho" w:eastAsia="MS Mincho" w:cs="Times New Roman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5EB579F">
            <w:pPr>
              <w:pStyle w:val="14"/>
              <w:rPr>
                <w:rFonts w:ascii="宋体" w:hAnsi="宋体" w:eastAsia="MS Mincho"/>
                <w:lang w:eastAsia="ja-JP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08D1A7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eastAsia="MS Mincho"/>
                <w:bCs/>
              </w:rPr>
              <w:t>3</w:t>
            </w:r>
            <w:r>
              <w:rPr>
                <w:rFonts w:eastAsia="MS Mincho"/>
                <w:bCs/>
              </w:rPr>
              <w:t>.</w:t>
            </w:r>
            <w:r>
              <w:t xml:space="preserve"> 具有跨文化交际能力，掌握有效的认知、调控、交际策略和跨文化理解能力</w:t>
            </w:r>
            <w:r>
              <w:rPr>
                <w:bCs/>
              </w:rPr>
              <w:t>。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3C5D48">
            <w:pPr>
              <w:pStyle w:val="14"/>
              <w:rPr>
                <w:rFonts w:ascii="宋体" w:hAnsi="宋体" w:eastAsia="MS Mincho"/>
                <w:bCs/>
                <w:lang w:eastAsia="ja-JP"/>
              </w:rPr>
            </w:pPr>
            <w:r>
              <w:rPr>
                <w:rFonts w:hint="eastAsia" w:ascii="宋体" w:hAnsi="宋体" w:eastAsia="MS Mincho"/>
                <w:bCs/>
                <w:lang w:eastAsia="ja-JP"/>
              </w:rPr>
              <w:t>1</w:t>
            </w:r>
            <w:r>
              <w:rPr>
                <w:rFonts w:ascii="宋体" w:hAnsi="宋体" w:eastAsia="MS Mincho"/>
                <w:bCs/>
                <w:lang w:eastAsia="ja-JP"/>
              </w:rPr>
              <w:t>00</w:t>
            </w:r>
          </w:p>
        </w:tc>
      </w:tr>
    </w:tbl>
    <w:p w14:paraId="26C7989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DE4CAB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7D48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tcBorders>
              <w:bottom w:val="single" w:color="auto" w:sz="4" w:space="0"/>
            </w:tcBorders>
          </w:tcPr>
          <w:p w14:paraId="4C0C4BC9">
            <w:pPr>
              <w:pStyle w:val="14"/>
              <w:widowControl w:val="0"/>
              <w:jc w:val="left"/>
            </w:pPr>
            <w:bookmarkStart w:id="0" w:name="OLE_LINK5"/>
            <w:bookmarkStart w:id="1" w:name="OLE_LINK6"/>
            <w:r>
              <w:rPr>
                <w:rFonts w:hint="eastAsia" w:asciiTheme="majorEastAsia" w:hAnsiTheme="majorEastAsia" w:eastAsiaTheme="majorEastAsia"/>
                <w:bCs/>
              </w:rPr>
              <w:t>(一)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日常生活中的礼仪</w:t>
            </w:r>
          </w:p>
          <w:p w14:paraId="000E836D">
            <w:pPr>
              <w:pStyle w:val="14"/>
              <w:widowControl w:val="0"/>
              <w:jc w:val="left"/>
            </w:pPr>
            <w:r>
              <w:t>要求学生理解中日两国民众在生活中礼仪的差异，举办与日本人交往的能力。用实例说明中日两国民众在日常生活的理由的差异，分析差异产生的原因。使学生在行为、 举止方面吸收好的做法，关键落实到行动中。</w:t>
            </w:r>
          </w:p>
        </w:tc>
      </w:tr>
      <w:tr w14:paraId="3AEB1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tcBorders>
              <w:top w:val="single" w:color="auto" w:sz="4" w:space="0"/>
              <w:bottom w:val="single" w:color="auto" w:sz="4" w:space="0"/>
            </w:tcBorders>
          </w:tcPr>
          <w:p w14:paraId="487D9DC4">
            <w:pPr>
              <w:pStyle w:val="14"/>
              <w:widowControl w:val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(二)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工作和交往的礼仪</w:t>
            </w:r>
          </w:p>
          <w:p w14:paraId="2BE2E800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使学生了解工作和人际交往过程中的各种礼仪的差异，提升个人的工作能力和人际交往能力。日本社会是等级社会，而中国是比较平等的社会。分析两国社会现状的历史原因和社会原 因等。使学生在以后的留学生活和工作中能够处理与中国不同的社会关系。</w:t>
            </w:r>
          </w:p>
        </w:tc>
      </w:tr>
      <w:tr w14:paraId="65B3B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tcBorders>
              <w:top w:val="single" w:color="auto" w:sz="4" w:space="0"/>
              <w:bottom w:val="single" w:color="auto" w:sz="4" w:space="0"/>
            </w:tcBorders>
          </w:tcPr>
          <w:p w14:paraId="2BECCAF3">
            <w:pPr>
              <w:pStyle w:val="14"/>
              <w:widowControl w:val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(三)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衣食住行的差异</w:t>
            </w:r>
          </w:p>
          <w:p w14:paraId="63AFAE04">
            <w:pPr>
              <w:pStyle w:val="14"/>
              <w:widowControl w:val="0"/>
              <w:jc w:val="left"/>
            </w:pPr>
            <w:r>
              <w:t>这是中日文化差异的 一个部分。要求学生理解中日两国民众在衣食住行方面的差异，取长补短，提高个人素质。人们在衣食住行方面的习惯、习性是长期养成的，要改变自 己的行为、习性是痛苦的。需要用实例进行分析，人学生明白个人素质的重要性。落实到个人的行为、举止上是比较困难的。</w:t>
            </w:r>
          </w:p>
        </w:tc>
      </w:tr>
      <w:tr w14:paraId="6B973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tcBorders>
              <w:top w:val="single" w:color="auto" w:sz="4" w:space="0"/>
            </w:tcBorders>
          </w:tcPr>
          <w:p w14:paraId="150CFD77">
            <w:pPr>
              <w:pStyle w:val="14"/>
              <w:widowControl w:val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(四)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风俗习惯的差异</w:t>
            </w:r>
          </w:p>
          <w:p w14:paraId="5C16A3CF">
            <w:pPr>
              <w:pStyle w:val="14"/>
              <w:widowControl w:val="0"/>
              <w:jc w:val="left"/>
            </w:pPr>
            <w:r>
              <w:t>中日两国的风俗习惯、风土人情等存在着差异。要求学生理解这种差异，懂得入乡随 俗的重要性，以便在今后的留学和工作中能够适应环境的需要。日本的许多风俗习惯、风土人情是从中国引进的，但是随着历史的进程，许多风俗习惯、风土人情都发生了细微的变化。 这些细微的差异是教学中需要讲解的，也是重点和难点。只有尊重他人才能够得到他人的尊重。</w:t>
            </w:r>
          </w:p>
        </w:tc>
      </w:tr>
      <w:bookmarkEnd w:id="0"/>
      <w:bookmarkEnd w:id="1"/>
    </w:tbl>
    <w:p w14:paraId="52354DC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38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49"/>
        <w:gridCol w:w="986"/>
        <w:gridCol w:w="986"/>
        <w:gridCol w:w="986"/>
        <w:gridCol w:w="986"/>
      </w:tblGrid>
      <w:tr w14:paraId="6E13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493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9966259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AE0367F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E85CCEC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64" w:type="dxa"/>
            <w:tcBorders>
              <w:top w:val="single" w:color="auto" w:sz="12" w:space="0"/>
            </w:tcBorders>
            <w:vAlign w:val="center"/>
          </w:tcPr>
          <w:p w14:paraId="6598841B">
            <w:pPr>
              <w:pStyle w:val="13"/>
              <w:rPr>
                <w:szCs w:val="16"/>
              </w:rPr>
            </w:pPr>
            <w:r>
              <w:rPr>
                <w:rFonts w:eastAsia="MS Mincho"/>
                <w:szCs w:val="16"/>
                <w:lang w:eastAsia="ja-JP"/>
              </w:rPr>
              <w:t>1</w:t>
            </w:r>
          </w:p>
        </w:tc>
        <w:tc>
          <w:tcPr>
            <w:tcW w:w="964" w:type="dxa"/>
            <w:tcBorders>
              <w:top w:val="single" w:color="auto" w:sz="12" w:space="0"/>
            </w:tcBorders>
            <w:vAlign w:val="center"/>
          </w:tcPr>
          <w:p w14:paraId="5609833D">
            <w:pPr>
              <w:pStyle w:val="13"/>
              <w:rPr>
                <w:rFonts w:eastAsia="MS Mincho"/>
                <w:szCs w:val="16"/>
                <w:lang w:eastAsia="ja-JP"/>
              </w:rPr>
            </w:pPr>
            <w:r>
              <w:rPr>
                <w:rFonts w:hint="eastAsia" w:eastAsia="MS Mincho"/>
                <w:szCs w:val="16"/>
                <w:lang w:eastAsia="ja-JP"/>
              </w:rPr>
              <w:t>2</w:t>
            </w:r>
          </w:p>
        </w:tc>
        <w:tc>
          <w:tcPr>
            <w:tcW w:w="964" w:type="dxa"/>
            <w:tcBorders>
              <w:top w:val="single" w:color="auto" w:sz="12" w:space="0"/>
            </w:tcBorders>
            <w:vAlign w:val="center"/>
          </w:tcPr>
          <w:p w14:paraId="23C6C844">
            <w:pPr>
              <w:pStyle w:val="13"/>
              <w:rPr>
                <w:rFonts w:eastAsia="MS Mincho"/>
                <w:szCs w:val="16"/>
                <w:lang w:eastAsia="ja-JP"/>
              </w:rPr>
            </w:pPr>
            <w:r>
              <w:rPr>
                <w:rFonts w:hint="eastAsia" w:eastAsia="MS Mincho"/>
                <w:szCs w:val="16"/>
                <w:lang w:eastAsia="ja-JP"/>
              </w:rPr>
              <w:t>3</w:t>
            </w:r>
          </w:p>
        </w:tc>
        <w:tc>
          <w:tcPr>
            <w:tcW w:w="96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3156666">
            <w:pPr>
              <w:pStyle w:val="13"/>
              <w:rPr>
                <w:rFonts w:eastAsia="MS Mincho"/>
                <w:szCs w:val="16"/>
                <w:lang w:eastAsia="ja-JP"/>
              </w:rPr>
            </w:pPr>
            <w:r>
              <w:rPr>
                <w:rFonts w:hint="eastAsia" w:eastAsia="MS Mincho"/>
                <w:szCs w:val="16"/>
                <w:lang w:eastAsia="ja-JP"/>
              </w:rPr>
              <w:t>4</w:t>
            </w:r>
          </w:p>
        </w:tc>
      </w:tr>
      <w:tr w14:paraId="219B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493" w:type="dxa"/>
            <w:tcBorders>
              <w:left w:val="single" w:color="auto" w:sz="12" w:space="0"/>
            </w:tcBorders>
          </w:tcPr>
          <w:p w14:paraId="2FBDDB88">
            <w:pPr>
              <w:pStyle w:val="14"/>
              <w:jc w:val="left"/>
            </w:pPr>
            <w:r>
              <w:rPr>
                <w:rFonts w:hint="eastAsia" w:asciiTheme="majorEastAsia" w:hAnsiTheme="majorEastAsia" w:eastAsiaTheme="majorEastAsia"/>
                <w:bCs/>
              </w:rPr>
              <w:t>(一)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日常生活中的礼仪</w:t>
            </w:r>
          </w:p>
        </w:tc>
        <w:tc>
          <w:tcPr>
            <w:tcW w:w="964" w:type="dxa"/>
            <w:vAlign w:val="center"/>
          </w:tcPr>
          <w:p w14:paraId="786ED503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vAlign w:val="center"/>
          </w:tcPr>
          <w:p w14:paraId="3794317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vAlign w:val="center"/>
          </w:tcPr>
          <w:p w14:paraId="68F1D2A4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tcBorders>
              <w:right w:val="single" w:color="auto" w:sz="12" w:space="0"/>
            </w:tcBorders>
            <w:vAlign w:val="center"/>
          </w:tcPr>
          <w:p w14:paraId="20FC507B">
            <w:pPr>
              <w:pStyle w:val="14"/>
            </w:pPr>
          </w:p>
        </w:tc>
      </w:tr>
      <w:tr w14:paraId="3960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493" w:type="dxa"/>
            <w:tcBorders>
              <w:left w:val="single" w:color="auto" w:sz="12" w:space="0"/>
            </w:tcBorders>
          </w:tcPr>
          <w:p w14:paraId="0C7C5030">
            <w:pPr>
              <w:pStyle w:val="14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(二)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工作和交往的礼仪</w:t>
            </w:r>
          </w:p>
        </w:tc>
        <w:tc>
          <w:tcPr>
            <w:tcW w:w="964" w:type="dxa"/>
            <w:vAlign w:val="center"/>
          </w:tcPr>
          <w:p w14:paraId="181CF511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vAlign w:val="center"/>
          </w:tcPr>
          <w:p w14:paraId="29F2466C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vAlign w:val="center"/>
          </w:tcPr>
          <w:p w14:paraId="4E846E62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tcBorders>
              <w:right w:val="single" w:color="auto" w:sz="12" w:space="0"/>
            </w:tcBorders>
            <w:vAlign w:val="center"/>
          </w:tcPr>
          <w:p w14:paraId="498B7493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6568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493" w:type="dxa"/>
            <w:tcBorders>
              <w:left w:val="single" w:color="auto" w:sz="12" w:space="0"/>
              <w:bottom w:val="single" w:color="auto" w:sz="4" w:space="0"/>
            </w:tcBorders>
          </w:tcPr>
          <w:p w14:paraId="1D4B617D">
            <w:pPr>
              <w:pStyle w:val="14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(三)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衣食住行的差异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 w14:paraId="6FE7BEFD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 w14:paraId="2896F429">
            <w:pPr>
              <w:pStyle w:val="14"/>
            </w:pP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 w14:paraId="4221934C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D1CB29D">
            <w:pPr>
              <w:pStyle w:val="14"/>
            </w:pPr>
          </w:p>
        </w:tc>
      </w:tr>
      <w:tr w14:paraId="5D809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493" w:type="dxa"/>
            <w:tcBorders>
              <w:left w:val="single" w:color="auto" w:sz="12" w:space="0"/>
              <w:bottom w:val="single" w:color="auto" w:sz="12" w:space="0"/>
            </w:tcBorders>
          </w:tcPr>
          <w:p w14:paraId="74D00587">
            <w:pPr>
              <w:pStyle w:val="14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(四)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风俗习惯的差异</w:t>
            </w:r>
          </w:p>
        </w:tc>
        <w:tc>
          <w:tcPr>
            <w:tcW w:w="964" w:type="dxa"/>
            <w:tcBorders>
              <w:bottom w:val="single" w:color="auto" w:sz="12" w:space="0"/>
            </w:tcBorders>
            <w:vAlign w:val="center"/>
          </w:tcPr>
          <w:p w14:paraId="6B710B4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tcBorders>
              <w:bottom w:val="single" w:color="auto" w:sz="12" w:space="0"/>
            </w:tcBorders>
            <w:vAlign w:val="center"/>
          </w:tcPr>
          <w:p w14:paraId="6ACA4063">
            <w:pPr>
              <w:pStyle w:val="14"/>
            </w:pPr>
          </w:p>
        </w:tc>
        <w:tc>
          <w:tcPr>
            <w:tcW w:w="964" w:type="dxa"/>
            <w:tcBorders>
              <w:bottom w:val="single" w:color="auto" w:sz="12" w:space="0"/>
            </w:tcBorders>
            <w:vAlign w:val="center"/>
          </w:tcPr>
          <w:p w14:paraId="6C150C93">
            <w:pPr>
              <w:pStyle w:val="14"/>
              <w:rPr>
                <w:rFonts w:eastAsia="MS Mincho"/>
                <w:lang w:eastAsia="ja-JP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E9051EB">
            <w:pPr>
              <w:pStyle w:val="14"/>
              <w:rPr>
                <w:rFonts w:eastAsia="MS Mincho"/>
                <w:lang w:eastAsia="ja-JP"/>
              </w:rPr>
            </w:pPr>
          </w:p>
        </w:tc>
      </w:tr>
    </w:tbl>
    <w:p w14:paraId="5ABFEF3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20D0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47EB9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3226C47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24EA7652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评价方式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4B1E29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D51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05A5175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297D661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4B040DC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F103F1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613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EF6BE0D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(一)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日常生活中的礼仪</w:t>
            </w:r>
          </w:p>
        </w:tc>
        <w:tc>
          <w:tcPr>
            <w:tcW w:w="2690" w:type="dxa"/>
            <w:vAlign w:val="center"/>
          </w:tcPr>
          <w:p w14:paraId="1AE5D317">
            <w:pPr>
              <w:widowControl w:val="0"/>
              <w:snapToGrid w:val="0"/>
              <w:jc w:val="left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学习课文知识且适当补充课外内容，使了解日本人</w:t>
            </w:r>
            <w:r>
              <w:rPr>
                <w:sz w:val="21"/>
                <w:szCs w:val="21"/>
              </w:rPr>
              <w:t>日常生活中的礼仪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，理解文化差异，激发学生兴趣。</w:t>
            </w:r>
          </w:p>
        </w:tc>
        <w:tc>
          <w:tcPr>
            <w:tcW w:w="1697" w:type="dxa"/>
            <w:vAlign w:val="center"/>
          </w:tcPr>
          <w:p w14:paraId="4FB9A2E4">
            <w:pPr>
              <w:widowControl w:val="0"/>
              <w:snapToGrid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22D29283">
            <w:pPr>
              <w:widowControl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1671CBB1">
            <w:pPr>
              <w:widowControl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随堂测试</w:t>
            </w:r>
          </w:p>
        </w:tc>
        <w:tc>
          <w:tcPr>
            <w:tcW w:w="708" w:type="dxa"/>
            <w:vAlign w:val="center"/>
          </w:tcPr>
          <w:p w14:paraId="7DDFCF13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0E18152D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CF109D5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MS Mincho"/>
                <w:bCs/>
                <w:sz w:val="21"/>
                <w:szCs w:val="21"/>
                <w:lang w:eastAsia="ja-JP"/>
              </w:rPr>
              <w:t>8</w:t>
            </w:r>
          </w:p>
        </w:tc>
      </w:tr>
      <w:tr w14:paraId="13AC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36D78AA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(二)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工作和交往的礼仪</w:t>
            </w:r>
          </w:p>
        </w:tc>
        <w:tc>
          <w:tcPr>
            <w:tcW w:w="2690" w:type="dxa"/>
            <w:vAlign w:val="center"/>
          </w:tcPr>
          <w:p w14:paraId="09BAD965">
            <w:pPr>
              <w:widowControl w:val="0"/>
              <w:snapToGrid w:val="0"/>
              <w:jc w:val="left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学习课文知识且适当补充课外内容，使了解日本人</w:t>
            </w:r>
            <w:r>
              <w:rPr>
                <w:sz w:val="21"/>
                <w:szCs w:val="21"/>
              </w:rPr>
              <w:t>工作和交往的礼仪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，理解文化差异，激发学生兴趣。</w:t>
            </w:r>
          </w:p>
        </w:tc>
        <w:tc>
          <w:tcPr>
            <w:tcW w:w="1697" w:type="dxa"/>
            <w:vAlign w:val="center"/>
          </w:tcPr>
          <w:p w14:paraId="36DF9FAF">
            <w:pPr>
              <w:widowControl w:val="0"/>
              <w:snapToGrid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3BFDC9D3">
            <w:pPr>
              <w:widowControl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6456A21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随堂测试</w:t>
            </w:r>
          </w:p>
        </w:tc>
        <w:tc>
          <w:tcPr>
            <w:tcW w:w="708" w:type="dxa"/>
            <w:vAlign w:val="center"/>
          </w:tcPr>
          <w:p w14:paraId="60329DAE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10D7F993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8E3C51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MS Mincho"/>
                <w:bCs/>
                <w:sz w:val="21"/>
                <w:szCs w:val="21"/>
                <w:lang w:eastAsia="ja-JP"/>
              </w:rPr>
              <w:t>8</w:t>
            </w:r>
          </w:p>
        </w:tc>
      </w:tr>
      <w:tr w14:paraId="4251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658EB62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(三)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衣食住行的差异</w:t>
            </w:r>
          </w:p>
        </w:tc>
        <w:tc>
          <w:tcPr>
            <w:tcW w:w="2690" w:type="dxa"/>
            <w:vAlign w:val="center"/>
          </w:tcPr>
          <w:p w14:paraId="7C4AF4A7">
            <w:pPr>
              <w:widowControl w:val="0"/>
              <w:snapToGrid w:val="0"/>
              <w:jc w:val="left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学习课文知识且适当补充课外内容，使了解日本各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种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文化，理解文化差异，激发学生兴趣。</w:t>
            </w:r>
          </w:p>
        </w:tc>
        <w:tc>
          <w:tcPr>
            <w:tcW w:w="1697" w:type="dxa"/>
            <w:vAlign w:val="center"/>
          </w:tcPr>
          <w:p w14:paraId="58EE999B">
            <w:pPr>
              <w:widowControl w:val="0"/>
              <w:snapToGrid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5487AB3F">
            <w:pPr>
              <w:widowControl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054C38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随堂测试</w:t>
            </w:r>
          </w:p>
        </w:tc>
        <w:tc>
          <w:tcPr>
            <w:tcW w:w="708" w:type="dxa"/>
            <w:vAlign w:val="center"/>
          </w:tcPr>
          <w:p w14:paraId="629893A4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1264E6DA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3F8FEBB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MS Mincho"/>
                <w:bCs/>
                <w:sz w:val="21"/>
                <w:szCs w:val="21"/>
                <w:lang w:eastAsia="ja-JP"/>
              </w:rPr>
              <w:t>8</w:t>
            </w:r>
          </w:p>
        </w:tc>
      </w:tr>
      <w:tr w14:paraId="6F66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53BF86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(四)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风俗习惯的差异</w:t>
            </w:r>
          </w:p>
        </w:tc>
        <w:tc>
          <w:tcPr>
            <w:tcW w:w="2690" w:type="dxa"/>
            <w:vAlign w:val="center"/>
          </w:tcPr>
          <w:p w14:paraId="08B4628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学习课文知识且适当补充课外内容，使了解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中日</w:t>
            </w:r>
            <w:r>
              <w:rPr>
                <w:sz w:val="21"/>
                <w:szCs w:val="21"/>
              </w:rPr>
              <w:t>风俗习惯的差异</w:t>
            </w:r>
            <w:r>
              <w:rPr>
                <w:rFonts w:hint="eastAsia"/>
                <w:color w:val="000000"/>
                <w:sz w:val="21"/>
                <w:szCs w:val="21"/>
              </w:rPr>
              <w:t>，激发学生兴趣。</w:t>
            </w:r>
          </w:p>
        </w:tc>
        <w:tc>
          <w:tcPr>
            <w:tcW w:w="1697" w:type="dxa"/>
            <w:vAlign w:val="center"/>
          </w:tcPr>
          <w:p w14:paraId="07A3FF19">
            <w:pPr>
              <w:widowControl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397E1EED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0B33AA5C">
            <w:pPr>
              <w:widowControl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随堂测试</w:t>
            </w:r>
          </w:p>
        </w:tc>
        <w:tc>
          <w:tcPr>
            <w:tcW w:w="708" w:type="dxa"/>
            <w:vAlign w:val="center"/>
          </w:tcPr>
          <w:p w14:paraId="581B4770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2990807C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79DE4FF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MS Mincho"/>
                <w:bCs/>
                <w:sz w:val="21"/>
                <w:szCs w:val="21"/>
                <w:lang w:eastAsia="ja-JP"/>
              </w:rPr>
              <w:t>8</w:t>
            </w:r>
          </w:p>
        </w:tc>
      </w:tr>
      <w:tr w14:paraId="3481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994175A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1554EAD2">
            <w:pPr>
              <w:widowControl w:val="0"/>
              <w:snapToGrid w:val="0"/>
              <w:jc w:val="center"/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75C137E1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89986B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MS Mincho"/>
                <w:bCs/>
                <w:sz w:val="21"/>
                <w:szCs w:val="21"/>
                <w:lang w:eastAsia="ja-JP"/>
              </w:rPr>
              <w:t>3</w:t>
            </w:r>
            <w:r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  <w:t>2</w:t>
            </w:r>
          </w:p>
        </w:tc>
      </w:tr>
    </w:tbl>
    <w:p w14:paraId="4A6079A1">
      <w:pPr>
        <w:pStyle w:val="16"/>
        <w:spacing w:before="326" w:beforeLines="100" w:line="360" w:lineRule="auto"/>
        <w:rPr>
          <w:rFonts w:ascii="黑体" w:hAnsi="宋体"/>
        </w:rPr>
      </w:pPr>
      <w:bookmarkStart w:id="6" w:name="_GoBack"/>
      <w:bookmarkEnd w:id="6"/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5E92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25956C08">
            <w:pPr>
              <w:pStyle w:val="14"/>
              <w:widowControl w:val="0"/>
              <w:jc w:val="left"/>
            </w:pPr>
            <w:r>
              <w:rPr>
                <w:rFonts w:eastAsia="MS Mincho" w:cs="Times New Roman"/>
              </w:rPr>
              <w:t>LO1</w:t>
            </w:r>
            <w:r>
              <w:rPr>
                <w:rFonts w:hint="eastAsia" w:eastAsia="MS Mincho"/>
              </w:rPr>
              <w:t>④</w:t>
            </w:r>
            <w:r>
              <w:rPr>
                <w:bCs/>
              </w:rPr>
              <w:t>诚信尽责，为人诚实，信守承诺，勤奋努力，精益求精，勇于担责。</w:t>
            </w:r>
          </w:p>
          <w:p w14:paraId="6B6D20D1">
            <w:pPr>
              <w:pStyle w:val="14"/>
              <w:widowControl w:val="0"/>
              <w:jc w:val="left"/>
            </w:pPr>
          </w:p>
          <w:p w14:paraId="5A1D022B">
            <w:pPr>
              <w:pStyle w:val="14"/>
              <w:widowControl w:val="0"/>
              <w:jc w:val="left"/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日中文化及び企業文化を学ぶ課程で、社会人としての自覚や責任感を養う。</w:t>
            </w:r>
          </w:p>
        </w:tc>
      </w:tr>
    </w:tbl>
    <w:p w14:paraId="13F3A45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706"/>
      </w:tblGrid>
      <w:tr w14:paraId="4D29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307AA7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8240BA6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DFC742A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2448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ED5884A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82F72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AA2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CEA653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738C857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72218CF5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B0A7718">
            <w:pPr>
              <w:pStyle w:val="16"/>
              <w:widowControl w:val="0"/>
              <w:spacing w:line="240" w:lineRule="auto"/>
              <w:jc w:val="center"/>
              <w:rPr>
                <w:rFonts w:ascii="黑体" w:hAnsi="黑体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MS Mincho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12" w:type="dxa"/>
            <w:vAlign w:val="center"/>
          </w:tcPr>
          <w:p w14:paraId="3B87B02E">
            <w:pPr>
              <w:pStyle w:val="16"/>
              <w:widowControl w:val="0"/>
              <w:spacing w:line="240" w:lineRule="auto"/>
              <w:jc w:val="center"/>
              <w:rPr>
                <w:rFonts w:ascii="黑体" w:hAnsi="黑体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MS Mincho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12" w:type="dxa"/>
            <w:vAlign w:val="center"/>
          </w:tcPr>
          <w:p w14:paraId="5F7EB418">
            <w:pPr>
              <w:pStyle w:val="16"/>
              <w:widowControl w:val="0"/>
              <w:spacing w:line="240" w:lineRule="auto"/>
              <w:jc w:val="center"/>
              <w:rPr>
                <w:rFonts w:ascii="黑体" w:hAnsi="黑体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MS Mincho"/>
                <w:bCs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12" w:type="dxa"/>
            <w:vAlign w:val="center"/>
          </w:tcPr>
          <w:p w14:paraId="1ACFDF54">
            <w:pPr>
              <w:pStyle w:val="16"/>
              <w:widowControl w:val="0"/>
              <w:spacing w:line="240" w:lineRule="auto"/>
              <w:jc w:val="center"/>
              <w:rPr>
                <w:rFonts w:ascii="黑体" w:hAnsi="黑体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MS Mincho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62E91C4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3EFB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98606A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5BA31A6">
            <w:pPr>
              <w:pStyle w:val="14"/>
              <w:widowControl w:val="0"/>
              <w:rPr>
                <w:rFonts w:eastAsia="MS Mincho" w:cs="Times New Roman"/>
                <w:lang w:eastAsia="ja-JP"/>
              </w:rPr>
            </w:pPr>
            <w:r>
              <w:rPr>
                <w:rFonts w:eastAsia="MS Mincho" w:cs="Times New Roman"/>
                <w:lang w:eastAsia="ja-JP"/>
              </w:rPr>
              <w:t>15％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02F7EF4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4F71567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40</w:t>
            </w:r>
          </w:p>
        </w:tc>
        <w:tc>
          <w:tcPr>
            <w:tcW w:w="612" w:type="dxa"/>
            <w:vAlign w:val="center"/>
          </w:tcPr>
          <w:p w14:paraId="4EBA91CC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14:paraId="7AC21C0D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4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430F863F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6D4C29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DFA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EF76E7A">
            <w:pPr>
              <w:widowControl w:val="0"/>
              <w:snapToGrid w:val="0"/>
              <w:jc w:val="center"/>
              <w:rPr>
                <w:rFonts w:ascii="Arial" w:hAnsi="Arial" w:eastAsia="MS Mincho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MS Mincho" w:cs="Arial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709" w:type="dxa"/>
            <w:vAlign w:val="center"/>
          </w:tcPr>
          <w:p w14:paraId="35561B62">
            <w:pPr>
              <w:pStyle w:val="14"/>
              <w:widowControl w:val="0"/>
            </w:pPr>
            <w:r>
              <w:rPr>
                <w:rFonts w:eastAsia="MS Mincho" w:cs="Times New Roman"/>
                <w:lang w:eastAsia="ja-JP"/>
              </w:rPr>
              <w:t>1</w:t>
            </w:r>
            <w:r>
              <w:rPr>
                <w:rFonts w:hint="eastAsia" w:eastAsia="MS Mincho" w:cs="Times New Roman"/>
                <w:lang w:eastAsia="ja-JP"/>
              </w:rPr>
              <w:t>0</w:t>
            </w:r>
            <w:r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6A92CAE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E63E94F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14:paraId="2833F605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14:paraId="3C7BBD66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40</w:t>
            </w:r>
          </w:p>
        </w:tc>
        <w:tc>
          <w:tcPr>
            <w:tcW w:w="612" w:type="dxa"/>
            <w:vAlign w:val="center"/>
          </w:tcPr>
          <w:p w14:paraId="43654901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6510DD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2DA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5D9ABF0">
            <w:pPr>
              <w:widowControl w:val="0"/>
              <w:snapToGrid w:val="0"/>
              <w:jc w:val="center"/>
              <w:rPr>
                <w:rFonts w:ascii="Arial" w:hAnsi="Arial" w:eastAsia="MS Mincho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MS Mincho" w:cs="Arial"/>
                <w:bCs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709" w:type="dxa"/>
            <w:vAlign w:val="center"/>
          </w:tcPr>
          <w:p w14:paraId="3AA5FAE4">
            <w:pPr>
              <w:pStyle w:val="14"/>
              <w:widowControl w:val="0"/>
            </w:pPr>
            <w:r>
              <w:rPr>
                <w:rFonts w:eastAsia="MS Mincho" w:cs="Times New Roman"/>
                <w:lang w:eastAsia="ja-JP"/>
              </w:rPr>
              <w:t>15％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0E4A998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50F1107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14:paraId="69878D1A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14:paraId="7907A5AF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40</w:t>
            </w:r>
          </w:p>
        </w:tc>
        <w:tc>
          <w:tcPr>
            <w:tcW w:w="612" w:type="dxa"/>
            <w:vAlign w:val="center"/>
          </w:tcPr>
          <w:p w14:paraId="0C96DB77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667BBD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6C6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2EE34EB">
            <w:pPr>
              <w:widowControl w:val="0"/>
              <w:snapToGrid w:val="0"/>
              <w:jc w:val="center"/>
              <w:rPr>
                <w:rFonts w:ascii="Arial" w:hAnsi="Arial" w:eastAsia="MS Mincho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MS Mincho" w:cs="Arial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3770FF54">
            <w:pPr>
              <w:pStyle w:val="14"/>
              <w:widowControl w:val="0"/>
            </w:pPr>
            <w:r>
              <w:rPr>
                <w:rFonts w:eastAsia="MS Mincho" w:cs="Times New Roman"/>
                <w:lang w:eastAsia="ja-JP"/>
              </w:rPr>
              <w:t>60％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406FEE5E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期末考查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7600F008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4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0EA35378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20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103C36DB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40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04FFF8D5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0</w:t>
            </w: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F463E7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40C8A8B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2F2B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1F59971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5923846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73244EDF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509743C7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203E0"/>
    <w:rsid w:val="000210E0"/>
    <w:rsid w:val="00033082"/>
    <w:rsid w:val="00044088"/>
    <w:rsid w:val="00047F3C"/>
    <w:rsid w:val="00053590"/>
    <w:rsid w:val="0006001D"/>
    <w:rsid w:val="00066041"/>
    <w:rsid w:val="000733D5"/>
    <w:rsid w:val="00076794"/>
    <w:rsid w:val="0008122A"/>
    <w:rsid w:val="00082386"/>
    <w:rsid w:val="00087488"/>
    <w:rsid w:val="0009050A"/>
    <w:rsid w:val="0009721F"/>
    <w:rsid w:val="000A4E73"/>
    <w:rsid w:val="000B0271"/>
    <w:rsid w:val="000B1BD2"/>
    <w:rsid w:val="000C0F0D"/>
    <w:rsid w:val="000C13BC"/>
    <w:rsid w:val="000D28E5"/>
    <w:rsid w:val="000D34D7"/>
    <w:rsid w:val="00100633"/>
    <w:rsid w:val="001013EC"/>
    <w:rsid w:val="001055BA"/>
    <w:rsid w:val="001072BC"/>
    <w:rsid w:val="00114BD6"/>
    <w:rsid w:val="00114FAB"/>
    <w:rsid w:val="00130F6D"/>
    <w:rsid w:val="00133554"/>
    <w:rsid w:val="00144082"/>
    <w:rsid w:val="0016381F"/>
    <w:rsid w:val="00163A48"/>
    <w:rsid w:val="00164E36"/>
    <w:rsid w:val="001678A2"/>
    <w:rsid w:val="00175D6E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4F02"/>
    <w:rsid w:val="00256B39"/>
    <w:rsid w:val="0026033C"/>
    <w:rsid w:val="0027339A"/>
    <w:rsid w:val="0027414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604E"/>
    <w:rsid w:val="002D7C47"/>
    <w:rsid w:val="002E33CE"/>
    <w:rsid w:val="002E3721"/>
    <w:rsid w:val="002E5721"/>
    <w:rsid w:val="002E6F95"/>
    <w:rsid w:val="002E764D"/>
    <w:rsid w:val="002F1F5B"/>
    <w:rsid w:val="002F3157"/>
    <w:rsid w:val="002F5BAB"/>
    <w:rsid w:val="002F6BD5"/>
    <w:rsid w:val="002F7C4D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79B9"/>
    <w:rsid w:val="00370184"/>
    <w:rsid w:val="00373C8A"/>
    <w:rsid w:val="00377C10"/>
    <w:rsid w:val="00384A1F"/>
    <w:rsid w:val="00384D60"/>
    <w:rsid w:val="00385D41"/>
    <w:rsid w:val="003861BA"/>
    <w:rsid w:val="0039239C"/>
    <w:rsid w:val="003938B4"/>
    <w:rsid w:val="003A1680"/>
    <w:rsid w:val="003A373C"/>
    <w:rsid w:val="003A5874"/>
    <w:rsid w:val="003A5B7D"/>
    <w:rsid w:val="003B1258"/>
    <w:rsid w:val="003B4A81"/>
    <w:rsid w:val="003C1F8D"/>
    <w:rsid w:val="003C61A5"/>
    <w:rsid w:val="003D1968"/>
    <w:rsid w:val="003D4994"/>
    <w:rsid w:val="003D6E0B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27299"/>
    <w:rsid w:val="00431829"/>
    <w:rsid w:val="004343A2"/>
    <w:rsid w:val="00437B60"/>
    <w:rsid w:val="004405E6"/>
    <w:rsid w:val="00443C84"/>
    <w:rsid w:val="00443C89"/>
    <w:rsid w:val="004540AA"/>
    <w:rsid w:val="00456BD8"/>
    <w:rsid w:val="00456DC8"/>
    <w:rsid w:val="0046238A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2F94"/>
    <w:rsid w:val="004B408D"/>
    <w:rsid w:val="004B6F68"/>
    <w:rsid w:val="004B73F7"/>
    <w:rsid w:val="004D0C20"/>
    <w:rsid w:val="004D4FB3"/>
    <w:rsid w:val="004D75A6"/>
    <w:rsid w:val="004E3456"/>
    <w:rsid w:val="004F30F4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0E28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3330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17999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775FB"/>
    <w:rsid w:val="0078194F"/>
    <w:rsid w:val="0078755E"/>
    <w:rsid w:val="007934A4"/>
    <w:rsid w:val="007A0AC9"/>
    <w:rsid w:val="007A1B70"/>
    <w:rsid w:val="007A57F6"/>
    <w:rsid w:val="007B4FFB"/>
    <w:rsid w:val="007C0BCE"/>
    <w:rsid w:val="007C1D1B"/>
    <w:rsid w:val="007C3566"/>
    <w:rsid w:val="007C62A2"/>
    <w:rsid w:val="007C77D4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47B69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2F26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454B6"/>
    <w:rsid w:val="009656CC"/>
    <w:rsid w:val="00970E8C"/>
    <w:rsid w:val="00971671"/>
    <w:rsid w:val="009726BA"/>
    <w:rsid w:val="00981A37"/>
    <w:rsid w:val="009830B2"/>
    <w:rsid w:val="0099063E"/>
    <w:rsid w:val="00992356"/>
    <w:rsid w:val="00992674"/>
    <w:rsid w:val="00994793"/>
    <w:rsid w:val="0099653B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C798D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202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8786A"/>
    <w:rsid w:val="00C9080C"/>
    <w:rsid w:val="00C94429"/>
    <w:rsid w:val="00CA18FD"/>
    <w:rsid w:val="00CA27E5"/>
    <w:rsid w:val="00CA4897"/>
    <w:rsid w:val="00CA6928"/>
    <w:rsid w:val="00CB0660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4FC1"/>
    <w:rsid w:val="00D37832"/>
    <w:rsid w:val="00D44860"/>
    <w:rsid w:val="00D47689"/>
    <w:rsid w:val="00D50C42"/>
    <w:rsid w:val="00D5689C"/>
    <w:rsid w:val="00D57CF5"/>
    <w:rsid w:val="00D612BC"/>
    <w:rsid w:val="00D62F98"/>
    <w:rsid w:val="00D633D4"/>
    <w:rsid w:val="00D66FD6"/>
    <w:rsid w:val="00D72574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30DF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677C2"/>
    <w:rsid w:val="00E7081D"/>
    <w:rsid w:val="00E70904"/>
    <w:rsid w:val="00E71319"/>
    <w:rsid w:val="00E73F9E"/>
    <w:rsid w:val="00E75171"/>
    <w:rsid w:val="00E804B0"/>
    <w:rsid w:val="00E86772"/>
    <w:rsid w:val="00E90B8B"/>
    <w:rsid w:val="00E921B8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0CA4"/>
    <w:rsid w:val="00EF21D9"/>
    <w:rsid w:val="00EF2A94"/>
    <w:rsid w:val="00EF312E"/>
    <w:rsid w:val="00EF32FB"/>
    <w:rsid w:val="00EF44B1"/>
    <w:rsid w:val="00EF4865"/>
    <w:rsid w:val="00EF54D0"/>
    <w:rsid w:val="00EF5954"/>
    <w:rsid w:val="00F07416"/>
    <w:rsid w:val="00F100D2"/>
    <w:rsid w:val="00F1045E"/>
    <w:rsid w:val="00F12942"/>
    <w:rsid w:val="00F13C41"/>
    <w:rsid w:val="00F14886"/>
    <w:rsid w:val="00F16421"/>
    <w:rsid w:val="00F201EE"/>
    <w:rsid w:val="00F21C6C"/>
    <w:rsid w:val="00F35AA0"/>
    <w:rsid w:val="00F43C49"/>
    <w:rsid w:val="00F45C12"/>
    <w:rsid w:val="00F544A2"/>
    <w:rsid w:val="00F73D03"/>
    <w:rsid w:val="00F76CB9"/>
    <w:rsid w:val="00F77A73"/>
    <w:rsid w:val="00F77FB2"/>
    <w:rsid w:val="00F80E46"/>
    <w:rsid w:val="00F825E0"/>
    <w:rsid w:val="00F916A9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406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2C548A2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1244</Words>
  <Characters>1339</Characters>
  <Lines>19</Lines>
  <Paragraphs>5</Paragraphs>
  <TotalTime>0</TotalTime>
  <ScaleCrop>false</ScaleCrop>
  <LinksUpToDate>false</LinksUpToDate>
  <CharactersWithSpaces>1362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2023-12-01T09:36:00Z</dcterms:created>
  <dc:creator>juvg</dc:creator>
  <cp:lastModifiedBy>今天天气真好.</cp:lastModifiedBy>
  <cp:lastPrinted>2023-11-21T00:52:00Z</cp:lastPrinted>
  <dcterms:modified xsi:type="dcterms:W3CDTF">2025-04-01T05:20:13Z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eyJoZGlkIjoiOWE3YzBmNTI5ZDlkNzdkNGQzMTc3Y2NhZjM2ZjBkMzciLCJ1c2VySWQiOiI2ODU0ODk4NDgifQ==</vt:lpwstr>
  </property>
  <property fmtid="{D5CDD505-2E9C-101B-9397-08002B2CF9AE}" pid="4" name="ICV">
    <vt:lpwstr>D74C28AE85A04E7DAF14671883BF8B9A_12</vt:lpwstr>
  </property>
</Properties>
</file>