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【基础日语（3）】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【Basic Japanese(3)】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hint="eastAsia" w:ascii="宋体" w:hAnsi="宋体"/>
          <w:color w:val="000000"/>
          <w:sz w:val="20"/>
          <w:szCs w:val="20"/>
          <w:highlight w:val="none"/>
        </w:rPr>
        <w:t>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日语》重排本</w:t>
      </w:r>
      <w:r>
        <w:rPr>
          <w:rFonts w:hint="eastAsia"/>
          <w:color w:val="000000"/>
          <w:sz w:val="20"/>
          <w:szCs w:val="20"/>
        </w:rPr>
        <w:t xml:space="preserve"> 第三册，周平、陈小芬主编，上海外语教育出版社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none"/>
        </w:rPr>
        <w:t>参考</w:t>
      </w:r>
      <w:r>
        <w:rPr>
          <w:rFonts w:hint="eastAsia"/>
          <w:color w:val="000000"/>
          <w:sz w:val="20"/>
          <w:szCs w:val="20"/>
          <w:highlight w:val="none"/>
        </w:rPr>
        <w:t>书目</w:t>
      </w:r>
      <w:r>
        <w:rPr>
          <w:color w:val="000000"/>
          <w:sz w:val="20"/>
          <w:szCs w:val="20"/>
          <w:highlight w:val="none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新日语N3教程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left="1796" w:leftChars="760" w:hanging="200" w:hangingChars="100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none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中日交流标准日本语 中级（上）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</w:p>
    <w:p>
      <w:pPr>
        <w:snapToGrid w:val="0"/>
        <w:spacing w:line="288" w:lineRule="auto"/>
        <w:ind w:left="1796" w:leftChars="760" w:hanging="200" w:hangingChars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（中国）人民教育出版社、（日本）光村图书出版株式会社联合出版；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1600" w:firstLineChars="800"/>
        <w:rPr>
          <w:color w:val="000000"/>
          <w:szCs w:val="21"/>
        </w:rPr>
      </w:pPr>
      <w:r>
        <w:rPr>
          <w:color w:val="000000"/>
          <w:sz w:val="20"/>
          <w:szCs w:val="20"/>
          <w:highlight w:val="none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皮细庚主编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</w:t>
      </w:r>
      <w:r>
        <w:rPr>
          <w:color w:val="000000"/>
          <w:sz w:val="20"/>
          <w:szCs w:val="20"/>
          <w:highlight w:val="none"/>
        </w:rPr>
        <w:t>社】</w:t>
      </w:r>
    </w:p>
    <w:p>
      <w:pPr>
        <w:snapToGrid w:val="0"/>
        <w:spacing w:line="288" w:lineRule="auto"/>
        <w:ind w:firstLine="394" w:firstLineChars="196"/>
        <w:rPr>
          <w:rFonts w:hint="eastAsia"/>
          <w:b/>
          <w:bCs/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 w:val="0"/>
          <w:bCs w:val="0"/>
          <w:color w:val="000000"/>
          <w:sz w:val="20"/>
          <w:szCs w:val="20"/>
          <w:highlight w:val="none"/>
        </w:rPr>
      </w:pPr>
      <w:r>
        <w:rPr>
          <w:rFonts w:hint="eastAsia"/>
          <w:b w:val="0"/>
          <w:bCs w:val="0"/>
          <w:color w:val="000000"/>
          <w:sz w:val="20"/>
          <w:szCs w:val="20"/>
          <w:highlight w:val="none"/>
        </w:rPr>
        <w:t>https://elearning.gench.edu.cn:8443/webapps/blackboard/content/listContentEditable.jsp?content_id=_127597_1&amp;course_id=_17588_1&amp;mode=reset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  <w:lang w:val="en-US" w:eastAsia="zh-CN"/>
        </w:rPr>
        <w:t>1</w:t>
      </w:r>
      <w:r>
        <w:rPr>
          <w:rFonts w:hint="eastAsia"/>
          <w:color w:val="000000"/>
          <w:sz w:val="20"/>
          <w:szCs w:val="20"/>
        </w:rPr>
        <w:t>） 202005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rFonts w:hint="eastAsia"/>
          <w:color w:val="000000"/>
          <w:sz w:val="20"/>
          <w:szCs w:val="20"/>
        </w:rPr>
        <w:t>（10）</w:t>
      </w:r>
      <w:r>
        <w:rPr>
          <w:rFonts w:hint="eastAsia"/>
          <w:color w:val="000000"/>
          <w:sz w:val="20"/>
          <w:szCs w:val="20"/>
          <w:lang w:eastAsia="zh-CN"/>
        </w:rPr>
        <w:t>；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（2） 2020053（10）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bookmarkStart w:id="1" w:name="_GoBack"/>
      <w:bookmarkEnd w:id="1"/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color w:val="000000"/>
          <w:sz w:val="20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firstLine="400" w:firstLineChars="200"/>
        <w:jc w:val="left"/>
        <w:textAlignment w:val="auto"/>
        <w:outlineLvl w:val="9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</w:t>
      </w:r>
      <w:r>
        <w:rPr>
          <w:rFonts w:hint="eastAsia"/>
          <w:color w:val="000000"/>
          <w:sz w:val="20"/>
          <w:szCs w:val="20"/>
          <w:lang w:val="en-US" w:eastAsia="zh-CN"/>
        </w:rPr>
        <w:t>本科</w:t>
      </w:r>
      <w:r>
        <w:rPr>
          <w:rFonts w:hint="eastAsia"/>
          <w:color w:val="000000"/>
          <w:sz w:val="20"/>
          <w:szCs w:val="20"/>
        </w:rPr>
        <w:t>专业的院级必修课，</w:t>
      </w:r>
      <w:r>
        <w:rPr>
          <w:rFonts w:hint="eastAsia"/>
        </w:rPr>
        <w:t>教学对象为日语系本科专业二年级</w:t>
      </w:r>
      <w:r>
        <w:rPr>
          <w:rFonts w:hint="eastAsia"/>
          <w:lang w:val="en-US" w:eastAsia="zh-CN"/>
        </w:rPr>
        <w:t>第一学期的</w:t>
      </w:r>
      <w:r>
        <w:rPr>
          <w:rFonts w:hint="eastAsia"/>
        </w:rPr>
        <w:t>学生。其主要目的是帮助学生巩固基础日语（1）、（2）</w:t>
      </w:r>
      <w:r>
        <w:rPr>
          <w:rFonts w:hint="eastAsia"/>
          <w:lang w:val="en-US" w:eastAsia="zh-CN"/>
        </w:rPr>
        <w:t>课程的</w:t>
      </w:r>
      <w:r>
        <w:rPr>
          <w:rFonts w:hint="eastAsia"/>
        </w:rPr>
        <w:t>相关知识，</w:t>
      </w:r>
      <w:r>
        <w:rPr>
          <w:rFonts w:hint="eastAsia"/>
          <w:lang w:val="en-US" w:eastAsia="zh-CN"/>
        </w:rPr>
        <w:t>进一步提高要求，要求学生达到中级日语水平，</w:t>
      </w:r>
      <w:r>
        <w:rPr>
          <w:rFonts w:hint="eastAsia"/>
        </w:rPr>
        <w:t>为</w:t>
      </w:r>
      <w:r>
        <w:rPr>
          <w:rFonts w:hint="eastAsia"/>
          <w:lang w:val="en-US" w:eastAsia="zh-CN"/>
        </w:rPr>
        <w:t>后续</w:t>
      </w:r>
      <w:r>
        <w:rPr>
          <w:rFonts w:hint="eastAsia"/>
        </w:rPr>
        <w:t>日语课程的学习打下坚实的基础。本课程听说与读写并重</w:t>
      </w:r>
      <w:r>
        <w:rPr>
          <w:rFonts w:hint="eastAsia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其教学目的在于通过全面训练，要求学生在初级日语的基础上，准确掌握日语词汇1600-2000个左右、中级语法以及句型，具备基本的听、说、读、写能力，熟练使用和灵活运用。同时引导学生扎实学习，培养对日语的兴趣，养成自主学习日语的习惯，进一步了解日本的社会文化，丰富日本社会文化知识，培养文化理解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firstLine="400" w:firstLineChars="200"/>
        <w:jc w:val="left"/>
        <w:textAlignment w:val="auto"/>
        <w:outlineLvl w:val="9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</w:t>
      </w:r>
      <w:r>
        <w:rPr>
          <w:rFonts w:hint="eastAsia"/>
          <w:color w:val="000000"/>
          <w:sz w:val="20"/>
          <w:szCs w:val="20"/>
          <w:lang w:val="en-US" w:eastAsia="zh-CN"/>
        </w:rPr>
        <w:t>教学进度</w:t>
      </w:r>
      <w:r>
        <w:rPr>
          <w:rFonts w:hint="eastAsia"/>
          <w:color w:val="000000"/>
          <w:sz w:val="20"/>
          <w:szCs w:val="20"/>
        </w:rPr>
        <w:t>主要分为四个单元，分别为</w:t>
      </w:r>
      <w:r>
        <w:rPr>
          <w:rFonts w:hint="eastAsia"/>
          <w:color w:val="000000"/>
          <w:sz w:val="20"/>
          <w:szCs w:val="20"/>
          <w:lang w:val="en-US" w:eastAsia="zh-CN"/>
        </w:rPr>
        <w:t>第一单元</w:t>
      </w:r>
      <w:r>
        <w:rPr>
          <w:rFonts w:hint="eastAsia"/>
          <w:color w:val="000000"/>
          <w:sz w:val="20"/>
          <w:szCs w:val="20"/>
        </w:rPr>
        <w:t>（第1—</w:t>
      </w:r>
      <w:r>
        <w:rPr>
          <w:rFonts w:hint="eastAsia"/>
          <w:color w:val="000000"/>
          <w:sz w:val="20"/>
          <w:szCs w:val="20"/>
          <w:lang w:val="en-US" w:eastAsia="zh-CN"/>
        </w:rPr>
        <w:t>4课</w:t>
      </w:r>
      <w:r>
        <w:rPr>
          <w:rFonts w:hint="eastAsia"/>
          <w:color w:val="000000"/>
          <w:sz w:val="20"/>
          <w:szCs w:val="20"/>
        </w:rPr>
        <w:t>）、</w:t>
      </w:r>
      <w:r>
        <w:rPr>
          <w:rFonts w:hint="eastAsia"/>
          <w:color w:val="000000"/>
          <w:sz w:val="20"/>
          <w:szCs w:val="20"/>
          <w:lang w:val="en-US" w:eastAsia="zh-CN"/>
        </w:rPr>
        <w:t>第二单元</w:t>
      </w:r>
      <w:r>
        <w:rPr>
          <w:rFonts w:hint="eastAsia"/>
          <w:color w:val="000000"/>
          <w:sz w:val="20"/>
          <w:szCs w:val="20"/>
        </w:rPr>
        <w:t>（第</w:t>
      </w:r>
      <w:r>
        <w:rPr>
          <w:rFonts w:hint="eastAsia"/>
          <w:color w:val="000000"/>
          <w:sz w:val="20"/>
          <w:szCs w:val="20"/>
          <w:lang w:val="en-US" w:eastAsia="zh-CN"/>
        </w:rPr>
        <w:t>5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  <w:lang w:val="en-US" w:eastAsia="zh-CN"/>
        </w:rPr>
        <w:t>7课</w:t>
      </w:r>
      <w:r>
        <w:rPr>
          <w:rFonts w:hint="eastAsia"/>
          <w:color w:val="000000"/>
          <w:sz w:val="20"/>
          <w:szCs w:val="20"/>
        </w:rPr>
        <w:t>）、</w:t>
      </w:r>
      <w:r>
        <w:rPr>
          <w:rFonts w:hint="eastAsia"/>
          <w:color w:val="000000"/>
          <w:sz w:val="20"/>
          <w:szCs w:val="20"/>
          <w:lang w:val="en-US" w:eastAsia="zh-CN"/>
        </w:rPr>
        <w:t>第三单元</w:t>
      </w:r>
      <w:r>
        <w:rPr>
          <w:rFonts w:hint="eastAsia"/>
          <w:color w:val="000000"/>
          <w:sz w:val="20"/>
          <w:szCs w:val="20"/>
        </w:rPr>
        <w:t>（第</w:t>
      </w:r>
      <w:r>
        <w:rPr>
          <w:rFonts w:hint="eastAsia"/>
          <w:color w:val="000000"/>
          <w:sz w:val="20"/>
          <w:szCs w:val="20"/>
          <w:lang w:val="en-US" w:eastAsia="zh-CN"/>
        </w:rPr>
        <w:t>8</w:t>
      </w:r>
      <w:r>
        <w:rPr>
          <w:rFonts w:hint="eastAsia"/>
          <w:color w:val="000000"/>
          <w:sz w:val="20"/>
          <w:szCs w:val="20"/>
        </w:rPr>
        <w:t>—1</w:t>
      </w:r>
      <w:r>
        <w:rPr>
          <w:rFonts w:hint="eastAsia"/>
          <w:color w:val="000000"/>
          <w:sz w:val="20"/>
          <w:szCs w:val="20"/>
          <w:lang w:val="en-US" w:eastAsia="zh-CN"/>
        </w:rPr>
        <w:t>1课</w:t>
      </w:r>
      <w:r>
        <w:rPr>
          <w:rFonts w:hint="eastAsia"/>
          <w:color w:val="000000"/>
          <w:sz w:val="20"/>
          <w:szCs w:val="20"/>
        </w:rPr>
        <w:t>）、</w:t>
      </w:r>
      <w:r>
        <w:rPr>
          <w:rFonts w:hint="eastAsia"/>
          <w:color w:val="000000"/>
          <w:sz w:val="20"/>
          <w:szCs w:val="20"/>
          <w:lang w:val="en-US" w:eastAsia="zh-CN"/>
        </w:rPr>
        <w:t>第四单元</w:t>
      </w:r>
      <w:r>
        <w:rPr>
          <w:rFonts w:hint="eastAsia"/>
          <w:color w:val="000000"/>
          <w:sz w:val="20"/>
          <w:szCs w:val="20"/>
        </w:rPr>
        <w:t>（第1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rFonts w:hint="eastAsia"/>
          <w:color w:val="000000"/>
          <w:sz w:val="20"/>
          <w:szCs w:val="20"/>
        </w:rPr>
        <w:t>-1</w:t>
      </w:r>
      <w:r>
        <w:rPr>
          <w:rFonts w:hint="eastAsia"/>
          <w:color w:val="000000"/>
          <w:sz w:val="20"/>
          <w:szCs w:val="20"/>
          <w:lang w:val="en-US" w:eastAsia="zh-CN"/>
        </w:rPr>
        <w:t>5课</w:t>
      </w:r>
      <w:r>
        <w:rPr>
          <w:rFonts w:hint="eastAsia"/>
          <w:color w:val="000000"/>
          <w:sz w:val="20"/>
          <w:szCs w:val="20"/>
        </w:rPr>
        <w:t>）。每周教学课时为10课时。每周教学内容对应听说读写综合能力训练的要求，主要分为本文、</w:t>
      </w:r>
      <w:r>
        <w:rPr>
          <w:rFonts w:hint="eastAsia"/>
          <w:color w:val="000000"/>
          <w:sz w:val="20"/>
          <w:szCs w:val="20"/>
          <w:lang w:val="en-US" w:eastAsia="zh-CN"/>
        </w:rPr>
        <w:t>会话、</w:t>
      </w:r>
      <w:r>
        <w:rPr>
          <w:rFonts w:hint="eastAsia"/>
          <w:color w:val="000000"/>
          <w:sz w:val="20"/>
          <w:szCs w:val="20"/>
        </w:rPr>
        <w:t>应用文、单词、词语与表达（句型语法）、功能用语、练习</w:t>
      </w:r>
      <w:r>
        <w:rPr>
          <w:rFonts w:hint="eastAsia"/>
          <w:color w:val="000000"/>
          <w:sz w:val="20"/>
          <w:szCs w:val="20"/>
          <w:lang w:val="en-US" w:eastAsia="zh-CN"/>
        </w:rPr>
        <w:t>等</w:t>
      </w:r>
      <w:r>
        <w:rPr>
          <w:rFonts w:hint="eastAsia"/>
          <w:color w:val="000000"/>
          <w:sz w:val="20"/>
          <w:szCs w:val="20"/>
        </w:rPr>
        <w:t>几个版块。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firstLine="400" w:firstLineChars="200"/>
        <w:jc w:val="left"/>
        <w:textAlignment w:val="auto"/>
        <w:outlineLvl w:val="9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  <w:lang w:val="en-US" w:eastAsia="zh-CN"/>
        </w:rPr>
        <w:t>160</w:t>
      </w:r>
      <w:r>
        <w:rPr>
          <w:rFonts w:hint="eastAsia"/>
          <w:color w:val="000000"/>
          <w:sz w:val="20"/>
          <w:szCs w:val="20"/>
        </w:rPr>
        <w:t>，且全部为</w:t>
      </w:r>
      <w:r>
        <w:rPr>
          <w:rFonts w:hint="eastAsia"/>
          <w:color w:val="000000"/>
          <w:sz w:val="20"/>
          <w:szCs w:val="20"/>
          <w:lang w:val="en-US" w:eastAsia="zh-CN"/>
        </w:rPr>
        <w:t>理论</w:t>
      </w:r>
      <w:r>
        <w:rPr>
          <w:rFonts w:hint="eastAsia"/>
          <w:color w:val="000000"/>
          <w:sz w:val="20"/>
          <w:szCs w:val="20"/>
        </w:rPr>
        <w:t>课时，共计</w:t>
      </w:r>
      <w:r>
        <w:rPr>
          <w:rFonts w:hint="eastAsia"/>
          <w:color w:val="000000"/>
          <w:sz w:val="20"/>
          <w:szCs w:val="20"/>
          <w:lang w:val="en-US" w:eastAsia="zh-CN"/>
        </w:rPr>
        <w:t>10</w:t>
      </w:r>
      <w:r>
        <w:rPr>
          <w:rFonts w:hint="eastAsia"/>
          <w:color w:val="000000"/>
          <w:sz w:val="20"/>
          <w:szCs w:val="20"/>
        </w:rPr>
        <w:t>学分。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本课程适合日语本科专业二年级第一学期开设。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LO21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jc w:val="left"/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了解本课程的学习目标和学习内容，</w:t>
            </w:r>
            <w:r>
              <w:rPr>
                <w:rFonts w:hint="eastAsia"/>
                <w:kern w:val="0"/>
                <w:sz w:val="20"/>
                <w:szCs w:val="20"/>
              </w:rPr>
              <w:t>能根据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自身情况</w:t>
            </w:r>
            <w:r>
              <w:rPr>
                <w:rFonts w:hint="eastAsia"/>
                <w:kern w:val="0"/>
                <w:sz w:val="20"/>
                <w:szCs w:val="20"/>
              </w:rPr>
              <w:t>确定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更细化更具体的</w:t>
            </w:r>
            <w:r>
              <w:rPr>
                <w:rFonts w:hint="eastAsia"/>
                <w:kern w:val="0"/>
                <w:sz w:val="20"/>
                <w:szCs w:val="20"/>
              </w:rPr>
              <w:t>学习目标，并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制定适合自己的</w:t>
            </w:r>
            <w:r>
              <w:rPr>
                <w:rFonts w:hint="eastAsia"/>
                <w:kern w:val="0"/>
                <w:sz w:val="20"/>
                <w:szCs w:val="20"/>
              </w:rPr>
              <w:t>学习计划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要求按照计划落实各项学习任务，提高日语综合能力，及时反思学习计划并持续改进。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1.帮助学生课前确认每篇课文学习目标，制定学习计划，要求学生按照学习计划课后自主学习。</w:t>
            </w: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能听懂正常语速下的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课文录音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根据文章及会话内容理解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说话者的意图，能听懂语段内容，并提取信息和观点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掌握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课文短文及会话的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正确发音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能跟录音进行朗读或二人一组进行对话。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能够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活学活用课文的内容和语句，围绕课文主题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用日语进行交流与表达。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场景模拟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会话练习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掌握各项日语阅读技能，包括细读本文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和会话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，泛读课文应用文等，提高分析归纳、推理检验等逻辑思维能力。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对课文涉及的话题有自己的想法，能对文章观点进行简单的评价。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LO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411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结合课文内容了解中日两国当代社会的法律常识，要求做到</w:t>
            </w:r>
            <w:r>
              <w:rPr>
                <w:rFonts w:hint="eastAsia"/>
                <w:kern w:val="0"/>
                <w:sz w:val="20"/>
                <w:szCs w:val="20"/>
              </w:rPr>
              <w:t>遵纪守法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遵守校纪校规，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提高自身</w:t>
            </w:r>
            <w:r>
              <w:rPr>
                <w:rFonts w:hint="eastAsia"/>
                <w:kern w:val="0"/>
                <w:sz w:val="20"/>
                <w:szCs w:val="20"/>
              </w:rPr>
              <w:t>法律意识。</w:t>
            </w:r>
          </w:p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1.结合课文内容，适当补充相关法律法规小知识。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LO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714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结合课文内容，知道环保是当今世界的重要课题。提高环保意识，</w:t>
            </w:r>
            <w:r>
              <w:rPr>
                <w:rFonts w:hint="eastAsia"/>
                <w:kern w:val="0"/>
                <w:sz w:val="20"/>
                <w:szCs w:val="20"/>
              </w:rPr>
              <w:t>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1.学习课文知识且适当补充课外内容，使了解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日本的环保政策和现状及目标，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作业</w:t>
            </w:r>
          </w:p>
          <w:p>
            <w:pPr>
              <w:snapToGrid w:val="0"/>
              <w:spacing w:line="288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</w:t>
      </w:r>
    </w:p>
    <w:p>
      <w:pPr>
        <w:ind w:firstLine="400" w:firstLineChars="200"/>
        <w:rPr>
          <w:rFonts w:hint="eastAsia"/>
        </w:rPr>
      </w:pPr>
      <w:r>
        <w:rPr>
          <w:rFonts w:hint="eastAsia"/>
          <w:bCs/>
          <w:sz w:val="20"/>
          <w:szCs w:val="20"/>
          <w:lang w:val="en-US" w:eastAsia="zh-CN"/>
        </w:rPr>
        <w:t>本课程共计160学时，含理论学时160学时，实践学时0学时，周课时为</w:t>
      </w:r>
      <w:r>
        <w:rPr>
          <w:rFonts w:hint="eastAsia"/>
          <w:bCs/>
          <w:sz w:val="20"/>
          <w:szCs w:val="20"/>
        </w:rPr>
        <w:t>10学时</w:t>
      </w:r>
      <w:r>
        <w:rPr>
          <w:rFonts w:hint="eastAsia"/>
          <w:bCs/>
          <w:sz w:val="20"/>
          <w:szCs w:val="20"/>
          <w:lang w:eastAsia="zh-CN"/>
        </w:rPr>
        <w:t>，</w:t>
      </w:r>
      <w:r>
        <w:rPr>
          <w:rFonts w:hint="eastAsia"/>
          <w:bCs/>
          <w:sz w:val="20"/>
          <w:szCs w:val="20"/>
          <w:lang w:val="en-US" w:eastAsia="zh-CN"/>
        </w:rPr>
        <w:t>按每周一课的教学进度开展教学。</w:t>
      </w:r>
      <w:r>
        <w:rPr>
          <w:rFonts w:hint="eastAsia"/>
          <w:bCs/>
          <w:sz w:val="20"/>
          <w:szCs w:val="20"/>
        </w:rPr>
        <w:t>本学期内容</w:t>
      </w:r>
      <w:r>
        <w:rPr>
          <w:rFonts w:hint="eastAsia"/>
          <w:bCs/>
          <w:sz w:val="20"/>
          <w:szCs w:val="20"/>
          <w:lang w:val="en-US" w:eastAsia="zh-CN"/>
        </w:rPr>
        <w:t>大致可</w:t>
      </w:r>
      <w:r>
        <w:rPr>
          <w:rFonts w:hint="eastAsia"/>
          <w:bCs/>
          <w:sz w:val="20"/>
          <w:szCs w:val="20"/>
        </w:rPr>
        <w:t>分为四个单元：</w:t>
      </w:r>
      <w:r>
        <w:rPr>
          <w:rFonts w:hint="eastAsia"/>
          <w:lang w:val="en-US" w:eastAsia="zh-CN"/>
        </w:rPr>
        <w:t>第一单元</w:t>
      </w:r>
      <w:r>
        <w:rPr>
          <w:rFonts w:hint="eastAsia"/>
        </w:rPr>
        <w:t>（第1—</w:t>
      </w:r>
      <w:r>
        <w:rPr>
          <w:rFonts w:hint="eastAsia"/>
          <w:lang w:val="en-US" w:eastAsia="zh-CN"/>
        </w:rPr>
        <w:t>4课</w:t>
      </w:r>
      <w:r>
        <w:rPr>
          <w:rFonts w:hint="eastAsia"/>
        </w:rPr>
        <w:t>）、</w:t>
      </w:r>
      <w:r>
        <w:rPr>
          <w:rFonts w:hint="eastAsia"/>
          <w:lang w:val="en-US" w:eastAsia="zh-CN"/>
        </w:rPr>
        <w:t>第二单元</w:t>
      </w:r>
      <w:r>
        <w:rPr>
          <w:rFonts w:hint="eastAsia"/>
        </w:rPr>
        <w:t>（第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—</w:t>
      </w:r>
      <w:r>
        <w:rPr>
          <w:rFonts w:hint="eastAsia"/>
          <w:lang w:val="en-US" w:eastAsia="zh-CN"/>
        </w:rPr>
        <w:t>7课</w:t>
      </w:r>
      <w:r>
        <w:rPr>
          <w:rFonts w:hint="eastAsia"/>
        </w:rPr>
        <w:t>）、</w:t>
      </w:r>
      <w:r>
        <w:rPr>
          <w:rFonts w:hint="eastAsia"/>
          <w:lang w:val="en-US" w:eastAsia="zh-CN"/>
        </w:rPr>
        <w:t>第三单元</w:t>
      </w:r>
      <w:r>
        <w:rPr>
          <w:rFonts w:hint="eastAsia"/>
        </w:rPr>
        <w:t>（第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—1</w:t>
      </w:r>
      <w:r>
        <w:rPr>
          <w:rFonts w:hint="eastAsia"/>
          <w:lang w:val="en-US" w:eastAsia="zh-CN"/>
        </w:rPr>
        <w:t>1课</w:t>
      </w:r>
      <w:r>
        <w:rPr>
          <w:rFonts w:hint="eastAsia"/>
        </w:rPr>
        <w:t>）、</w:t>
      </w:r>
      <w:r>
        <w:rPr>
          <w:rFonts w:hint="eastAsia"/>
          <w:lang w:val="en-US" w:eastAsia="zh-CN"/>
        </w:rPr>
        <w:t>第四单元</w:t>
      </w:r>
      <w:r>
        <w:rPr>
          <w:rFonts w:hint="eastAsia"/>
        </w:rPr>
        <w:t>（第1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-1</w:t>
      </w:r>
      <w:r>
        <w:rPr>
          <w:rFonts w:hint="eastAsia"/>
          <w:lang w:val="en-US" w:eastAsia="zh-CN"/>
        </w:rPr>
        <w:t>5课</w:t>
      </w:r>
      <w:r>
        <w:rPr>
          <w:rFonts w:hint="eastAsia"/>
        </w:rPr>
        <w:t>）。每周教学内容对应听说读写综合能力训练的要求，主要分为本文、</w:t>
      </w:r>
      <w:r>
        <w:rPr>
          <w:rFonts w:hint="eastAsia"/>
          <w:lang w:val="en-US" w:eastAsia="zh-CN"/>
        </w:rPr>
        <w:t>会话、</w:t>
      </w:r>
      <w:r>
        <w:rPr>
          <w:rFonts w:hint="eastAsia"/>
        </w:rPr>
        <w:t>应用文、单词、词语与表达（句型语法）、功能用语、练习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几个版块。</w:t>
      </w:r>
    </w:p>
    <w:p>
      <w:pPr>
        <w:snapToGrid w:val="0"/>
        <w:spacing w:line="288" w:lineRule="auto"/>
        <w:ind w:firstLine="402" w:firstLineChars="200"/>
        <w:rPr>
          <w:rFonts w:hint="eastAsia" w:ascii="宋体" w:hAnsi="宋体"/>
          <w:b/>
          <w:bCs/>
          <w:sz w:val="20"/>
          <w:szCs w:val="20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4"/>
        <w:gridCol w:w="2229"/>
        <w:gridCol w:w="233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</w:tcPr>
          <w:p>
            <w:pPr>
              <w:snapToGrid w:val="0"/>
              <w:spacing w:line="288" w:lineRule="auto"/>
              <w:rPr>
                <w:rFonts w:hint="eastAsia" w:eastAsia="宋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单元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内容构成</w:t>
            </w:r>
          </w:p>
        </w:tc>
        <w:tc>
          <w:tcPr>
            <w:tcW w:w="2229" w:type="dxa"/>
          </w:tcPr>
          <w:p>
            <w:pPr>
              <w:snapToGrid w:val="0"/>
              <w:spacing w:line="288" w:lineRule="auto"/>
              <w:jc w:val="center"/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知识点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（运用）</w:t>
            </w:r>
          </w:p>
        </w:tc>
        <w:tc>
          <w:tcPr>
            <w:tcW w:w="2335" w:type="dxa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教学重难点</w:t>
            </w: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b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0"/>
                <w:szCs w:val="20"/>
                <w:vertAlign w:val="baseline"/>
                <w:lang w:val="en-US" w:eastAsia="zh-CN"/>
              </w:rPr>
              <w:t>知识能力要求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1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上海エクスポ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パソコン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3G 携帯電話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4.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デジタルカメラ</w:t>
            </w:r>
          </w:p>
        </w:tc>
        <w:tc>
          <w:tcPr>
            <w:tcW w:w="2229" w:type="dxa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「加える」「生きる」「十人十色」「憧れる」。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相关语法与句型。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功能用语（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応じる・招く・断る・注意する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）。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上海世博会相关的日语表达，会用日语介绍上海世博会。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部分接尾词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「げ」「中」「ずみ」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等的意义与用法。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335" w:type="dxa"/>
            <w:vMerge w:val="restart"/>
          </w:tcPr>
          <w:p>
            <w:pPr>
              <w:widowControl w:val="0"/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结合课文详细讲解文中出现的新单词、新句型的用法。</w:t>
            </w:r>
          </w:p>
          <w:p>
            <w:pPr>
              <w:widowControl w:val="0"/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通过课文的学习了解上海世博会，了解电脑、智能手机、数码相机等现代科技产品的日语表达。能围绕课文主题进行日语会话。</w:t>
            </w:r>
          </w:p>
          <w:p>
            <w:pPr>
              <w:widowControl w:val="0"/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结合上海世博会适当扩展环保知识，提高环保意识。</w:t>
            </w:r>
          </w:p>
          <w:p>
            <w:pPr>
              <w:widowControl w:val="0"/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运用本课的新单词和新语法，完成课后练习，中日互译。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熟记单词。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要求熟读课文，能背诵课文重点段落，能正确理解新单词和新语法在文中的意义。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要求能模仿会话文内容，围绕上海世博会进行课堂会话。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帮助学生分析理解应用文的主要内容，提高学生的日语阅读能力。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通过练习考查本课知识的掌握情况。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上海ディズニーランド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電子辞書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なぞなぞ遊び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229" w:type="dxa"/>
          </w:tcPr>
          <w:p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。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「収める」「味わう」「破る」。</w:t>
            </w:r>
          </w:p>
          <w:p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相关语法与句型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2．功能用语（禁止・会を始める・話題を変える）。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3．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近义词辨析：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「さっそく」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和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「すぐ」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；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「当てる」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和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「当たる」。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4．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接尾词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「がる」「向け」的意义与用法。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</w:p>
        </w:tc>
        <w:tc>
          <w:tcPr>
            <w:tcW w:w="2335" w:type="dxa"/>
            <w:vMerge w:val="restart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1.结合课文详细讲解文中出现的新单词、新句型的用法。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2.通过课文的学习了解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迪士尼乐园的基本情况。通过课堂学习和课后资料查找，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能围绕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上海迪士尼乐园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进行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简单的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日语会话。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3.运用本课的新单词和新语法，完成课后练习，中日互译。</w:t>
            </w: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2.要求熟读课文，能背诵课文重点段落，能正确理解新单词和新语法在文中的意义。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3.要求能模仿会话文内容，围绕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迪士尼乐园游玩经历</w:t>
            </w: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进行课堂会话。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4.帮助学生分析理解应用文的主要内容，提高学生的日语阅读能力。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5.</w:t>
            </w: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通过练习考查本课知识的掌握情况。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発表のしかた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会議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「イソップ物語」を読む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4．コピー食品</w:t>
            </w:r>
          </w:p>
        </w:tc>
        <w:tc>
          <w:tcPr>
            <w:tcW w:w="2229" w:type="dxa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1．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「壊れる」「騒ぐ」「抱える」「頷く」。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2．相关语法与句型。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3．功能用语（賛成と反対・退席・会を終える・比較）。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4．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日语终助词的使用：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「の」「なあ」「かな」「な」「っけ」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5. 日语标点符号及日语读法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6. 日语中具有使役意义的他动词。</w:t>
            </w:r>
          </w:p>
        </w:tc>
        <w:tc>
          <w:tcPr>
            <w:tcW w:w="2335" w:type="dxa"/>
            <w:vMerge w:val="restart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1.结合课文详细讲解文中出现的新单词、新句型的用法。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2.通过课文的学习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掌握日语中常见标点符号的写法及读法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3.了解日语通知和邀请函的写法。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.运用本课的新单词和新语法，完成课后练习，中日互译。</w:t>
            </w: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2.要求熟读课文，能背诵课文重点段落，能正确理解新单词和新语法在文中的意义。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3.要求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仿照应用文，能写一篇日语通知或邀请函</w:t>
            </w: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。</w:t>
            </w:r>
          </w:p>
          <w:p>
            <w:p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4.帮助学生分析理解应用文的主要内容，提高学生的日语阅读能力。</w:t>
            </w: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5.</w:t>
            </w:r>
            <w:r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  <w:t>通过练习考查本课知识的掌握情况。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カード時代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実感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3．インスタント食品</w:t>
            </w:r>
          </w:p>
          <w:p>
            <w:p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4．漫画ブーム</w:t>
            </w:r>
          </w:p>
        </w:tc>
        <w:tc>
          <w:tcPr>
            <w:tcW w:w="2229" w:type="dxa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1．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「備える」「湧く」「飽きる」。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 xml:space="preserve">2. 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相关语法与句型。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．功能用语（構成・倍数とパーセント・計算・義務）。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4</w:t>
            </w:r>
            <w:r>
              <w:rPr>
                <w:rFonts w:hint="eastAsia" w:eastAsia="MS Mincho"/>
                <w:bCs/>
                <w:sz w:val="20"/>
                <w:szCs w:val="20"/>
                <w:vertAlign w:val="baseline"/>
                <w:lang w:val="en-US"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中日汉字的区别。</w:t>
            </w:r>
          </w:p>
        </w:tc>
        <w:tc>
          <w:tcPr>
            <w:tcW w:w="2335" w:type="dxa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1.结合课文详细讲解文中出现的新单词、新句型的用法。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通过课文的学习了解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丰富多样的支付手段，日本的速食文化，宅急送文化等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，能围绕课文主题进行简单的日语会话。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 w:eastAsia="宋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3.运用本课的新单词和新语法，完成课后练习，中日互译。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ind w:leftChars="0"/>
              <w:rPr>
                <w:rFonts w:hint="eastAsia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1.熟记单词。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2.要求熟读课文，能背诵课文重点段落，能正确理解新单词和新语法在文中的意义。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3.要求能模仿会话文内容，围绕</w:t>
            </w: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中国便利的支付手日本的速食文化等相关主题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进行课堂会话。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</w:rPr>
              <w:t>4.帮助学生分析理解应用文的主要内容，提高学生的日语阅读能力。</w:t>
            </w:r>
          </w:p>
          <w:p>
            <w:pPr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bCs/>
                <w:sz w:val="20"/>
                <w:szCs w:val="20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bCs/>
                <w:sz w:val="20"/>
                <w:szCs w:val="20"/>
                <w:vertAlign w:val="baseline"/>
              </w:rPr>
              <w:t>通过练习考查本课知识的掌握情况。</w:t>
            </w: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  <w:lang w:val="en-US" w:eastAsia="ja-JP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课堂提问及课后作业等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  <w:lang w:val="en-US" w:eastAsia="ja-JP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  <w:lang w:val="en-US" w:eastAsia="ja-JP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课堂提问及课后作业等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  <w:lang w:val="en-US" w:eastAsia="ja-JP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  <w:lang w:val="en-US" w:eastAsia="ja-JP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课堂提问及课后作业等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  <w:lang w:val="en-US" w:eastAsia="ja-JP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、评价方式与成绩</w:t>
      </w: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 xml:space="preserve"> 许瑶瑶         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68D09"/>
    <w:multiLevelType w:val="singleLevel"/>
    <w:tmpl w:val="8BC68D09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AEA1CB"/>
    <w:multiLevelType w:val="singleLevel"/>
    <w:tmpl w:val="C2AEA1CB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161D6148"/>
    <w:multiLevelType w:val="singleLevel"/>
    <w:tmpl w:val="161D6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948C5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8346891"/>
    <w:rsid w:val="09D321C1"/>
    <w:rsid w:val="0A3D558A"/>
    <w:rsid w:val="0A8128A6"/>
    <w:rsid w:val="0BF32A1B"/>
    <w:rsid w:val="0F0B7701"/>
    <w:rsid w:val="10BD2C22"/>
    <w:rsid w:val="116A5671"/>
    <w:rsid w:val="16BA7170"/>
    <w:rsid w:val="183E35C6"/>
    <w:rsid w:val="18AA47F6"/>
    <w:rsid w:val="1A4C0DDA"/>
    <w:rsid w:val="1AD81A7F"/>
    <w:rsid w:val="1C8972A2"/>
    <w:rsid w:val="1D70322B"/>
    <w:rsid w:val="1E135181"/>
    <w:rsid w:val="21CE4638"/>
    <w:rsid w:val="22987C80"/>
    <w:rsid w:val="24192CCC"/>
    <w:rsid w:val="273F6822"/>
    <w:rsid w:val="353C2200"/>
    <w:rsid w:val="39A66CD4"/>
    <w:rsid w:val="3A5517E3"/>
    <w:rsid w:val="3AFC02A2"/>
    <w:rsid w:val="3CD52CE1"/>
    <w:rsid w:val="3D3541CA"/>
    <w:rsid w:val="410F2E6A"/>
    <w:rsid w:val="41EF2FE6"/>
    <w:rsid w:val="43FE022A"/>
    <w:rsid w:val="4430136C"/>
    <w:rsid w:val="44726305"/>
    <w:rsid w:val="44C55B46"/>
    <w:rsid w:val="47A21580"/>
    <w:rsid w:val="4A416D63"/>
    <w:rsid w:val="4A5836A6"/>
    <w:rsid w:val="4AB0382B"/>
    <w:rsid w:val="4EC56C5E"/>
    <w:rsid w:val="50BA5012"/>
    <w:rsid w:val="537E2258"/>
    <w:rsid w:val="542134D9"/>
    <w:rsid w:val="543942DB"/>
    <w:rsid w:val="569868B5"/>
    <w:rsid w:val="58CC0457"/>
    <w:rsid w:val="5A287BAC"/>
    <w:rsid w:val="5AA2652E"/>
    <w:rsid w:val="5D735943"/>
    <w:rsid w:val="61171F8B"/>
    <w:rsid w:val="611F6817"/>
    <w:rsid w:val="613E01E3"/>
    <w:rsid w:val="614F1CB4"/>
    <w:rsid w:val="64E90752"/>
    <w:rsid w:val="665A225A"/>
    <w:rsid w:val="66CA1754"/>
    <w:rsid w:val="674926E3"/>
    <w:rsid w:val="68BC7F3A"/>
    <w:rsid w:val="6C1A56E7"/>
    <w:rsid w:val="6F1E65D4"/>
    <w:rsid w:val="6F266C86"/>
    <w:rsid w:val="6F5042C2"/>
    <w:rsid w:val="6FED50CB"/>
    <w:rsid w:val="73F27C34"/>
    <w:rsid w:val="74316312"/>
    <w:rsid w:val="780F13C8"/>
    <w:rsid w:val="78E26CAC"/>
    <w:rsid w:val="7C385448"/>
    <w:rsid w:val="7CB3663D"/>
    <w:rsid w:val="7FE727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38</TotalTime>
  <ScaleCrop>false</ScaleCrop>
  <LinksUpToDate>false</LinksUpToDate>
  <CharactersWithSpaces>1834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大瑶瑶</cp:lastModifiedBy>
  <dcterms:modified xsi:type="dcterms:W3CDTF">2018-09-09T02:01:45Z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