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9"/>
        <w:ind w:left="119"/>
        <w:rPr>
          <w:rFonts w:ascii="宋体" w:eastAsia="宋体"/>
        </w:rPr>
      </w:pPr>
      <w:r>
        <w:rPr>
          <w:rFonts w:hint="eastAsia" w:ascii="宋体" w:eastAsia="宋体"/>
          <w:spacing w:val="18"/>
        </w:rPr>
        <w:t>SJQU-QR-JW-033（</w:t>
      </w:r>
      <w:r>
        <w:rPr>
          <w:rFonts w:hint="eastAsia" w:ascii="宋体" w:eastAsia="宋体"/>
          <w:spacing w:val="-81"/>
        </w:rPr>
        <w:t xml:space="preserve"> </w:t>
      </w:r>
      <w:r>
        <w:rPr>
          <w:rFonts w:hint="eastAsia" w:ascii="宋体" w:eastAsia="宋体"/>
          <w:spacing w:val="13"/>
        </w:rPr>
        <w:t>A0）</w:t>
      </w:r>
    </w:p>
    <w:p>
      <w:pPr>
        <w:pStyle w:val="4"/>
        <w:spacing w:before="3"/>
        <w:rPr>
          <w:rFonts w:ascii="宋体"/>
          <w:sz w:val="25"/>
        </w:rPr>
      </w:pPr>
    </w:p>
    <w:p>
      <w:pPr>
        <w:widowControl/>
        <w:autoSpaceDE/>
        <w:autoSpaceDN/>
        <w:snapToGrid w:val="0"/>
        <w:spacing w:line="480" w:lineRule="exact"/>
        <w:jc w:val="center"/>
        <w:rPr>
          <w:rFonts w:hint="eastAsia" w:ascii="Calibri" w:hAnsi="Calibri" w:eastAsia="宋体"/>
          <w:b/>
          <w:kern w:val="2"/>
          <w:sz w:val="28"/>
          <w:szCs w:val="30"/>
          <w:lang w:eastAsia="zh-CN" w:bidi="ar-SA"/>
        </w:rPr>
      </w:pPr>
      <w:r>
        <w:rPr>
          <w:rFonts w:hint="eastAsia" w:ascii="Calibri" w:hAnsi="Calibri" w:eastAsia="宋体"/>
          <w:b/>
          <w:kern w:val="2"/>
          <w:sz w:val="28"/>
          <w:szCs w:val="30"/>
          <w:lang w:eastAsia="zh-CN" w:bidi="ar-SA"/>
        </w:rPr>
        <w:t>【</w:t>
      </w:r>
      <w:bookmarkStart w:id="0" w:name="_Toc359242089"/>
      <w:bookmarkEnd w:id="0"/>
      <w:r>
        <w:rPr>
          <w:rFonts w:hint="eastAsia" w:ascii="Calibri" w:hAnsi="Calibri" w:eastAsia="宋体"/>
          <w:b/>
          <w:kern w:val="2"/>
          <w:sz w:val="28"/>
          <w:szCs w:val="30"/>
          <w:lang w:eastAsia="zh-CN" w:bidi="ar-SA"/>
        </w:rPr>
        <w:t>国际贸易实务（双语）】</w:t>
      </w:r>
    </w:p>
    <w:p>
      <w:pPr>
        <w:widowControl/>
        <w:autoSpaceDE/>
        <w:autoSpaceDN/>
        <w:snapToGrid w:val="0"/>
        <w:spacing w:line="480" w:lineRule="exact"/>
        <w:jc w:val="center"/>
        <w:rPr>
          <w:rFonts w:hint="eastAsia" w:ascii="Calibri" w:hAnsi="Calibri" w:eastAsia="宋体"/>
          <w:b/>
          <w:kern w:val="2"/>
          <w:sz w:val="28"/>
          <w:szCs w:val="30"/>
          <w:lang w:val="en-US" w:eastAsia="zh-CN" w:bidi="ar-SA"/>
        </w:rPr>
      </w:pPr>
      <w:r>
        <w:rPr>
          <w:rFonts w:hint="eastAsia" w:ascii="Calibri" w:hAnsi="Calibri" w:eastAsia="宋体"/>
          <w:b/>
          <w:kern w:val="2"/>
          <w:sz w:val="28"/>
          <w:szCs w:val="30"/>
          <w:lang w:eastAsia="zh-CN" w:bidi="ar-SA"/>
        </w:rPr>
        <w:t>【International Trade Practice】</w:t>
      </w:r>
    </w:p>
    <w:p>
      <w:pPr>
        <w:widowControl/>
        <w:autoSpaceDE/>
        <w:autoSpaceDN/>
        <w:snapToGrid w:val="0"/>
        <w:spacing w:line="480" w:lineRule="exact"/>
        <w:jc w:val="center"/>
        <w:rPr>
          <w:rFonts w:hint="eastAsia" w:ascii="Calibri" w:hAnsi="Calibri" w:eastAsia="宋体"/>
          <w:b/>
          <w:kern w:val="2"/>
          <w:sz w:val="28"/>
          <w:szCs w:val="30"/>
          <w:lang w:eastAsia="zh-CN" w:bidi="ar-SA"/>
        </w:rPr>
      </w:pPr>
    </w:p>
    <w:p>
      <w:pPr>
        <w:pStyle w:val="4"/>
        <w:spacing w:before="8"/>
        <w:rPr>
          <w:rFonts w:ascii="Source Han Sans HW"/>
          <w:b/>
          <w:sz w:val="5"/>
          <w:lang w:eastAsia="zh-CN"/>
        </w:rPr>
      </w:pPr>
    </w:p>
    <w:p>
      <w:pPr>
        <w:pStyle w:val="13"/>
        <w:numPr>
          <w:ilvl w:val="0"/>
          <w:numId w:val="1"/>
        </w:numPr>
        <w:tabs>
          <w:tab w:val="left" w:pos="2019"/>
        </w:tabs>
        <w:spacing w:line="360" w:lineRule="auto"/>
        <w:jc w:val="both"/>
        <w:rPr>
          <w:rFonts w:ascii="黑体" w:eastAsia="黑体"/>
          <w:sz w:val="24"/>
          <w:lang w:eastAsia="zh-CN"/>
        </w:rPr>
      </w:pPr>
      <w:r>
        <w:rPr>
          <w:rFonts w:hint="eastAsia" w:ascii="黑体" w:eastAsia="黑体"/>
          <w:sz w:val="24"/>
          <w:lang w:eastAsia="zh-CN"/>
        </w:rPr>
        <w:t>基本信息</w:t>
      </w:r>
    </w:p>
    <w:p>
      <w:pPr>
        <w:snapToGrid w:val="0"/>
        <w:ind w:left="95" w:firstLine="1205" w:firstLineChars="600"/>
        <w:rPr>
          <w:color w:val="000000"/>
          <w:sz w:val="20"/>
          <w:szCs w:val="20"/>
          <w:lang w:eastAsia="zh-CN"/>
        </w:rPr>
      </w:pPr>
      <w:r>
        <w:rPr>
          <w:rFonts w:hint="eastAsia" w:ascii="宋体" w:hAnsi="宋体" w:eastAsia="宋体" w:cs="宋体"/>
          <w:b/>
          <w:bCs/>
          <w:color w:val="000000"/>
          <w:sz w:val="20"/>
          <w:szCs w:val="20"/>
          <w:lang w:eastAsia="zh-CN"/>
        </w:rPr>
        <w:t>课程代码：</w:t>
      </w:r>
      <w:r>
        <w:rPr>
          <w:rFonts w:hint="eastAsia" w:ascii="宋体" w:hAnsi="宋体" w:eastAsia="宋体" w:cs="宋体"/>
          <w:color w:val="000000"/>
          <w:sz w:val="20"/>
          <w:szCs w:val="20"/>
          <w:lang w:eastAsia="zh-CN"/>
        </w:rPr>
        <w:t>【</w:t>
      </w:r>
      <w:r>
        <w:rPr>
          <w:rFonts w:hint="eastAsia"/>
          <w:color w:val="000000"/>
          <w:sz w:val="20"/>
          <w:szCs w:val="20"/>
          <w:lang w:eastAsia="zh-CN"/>
        </w:rPr>
        <w:t>2020</w:t>
      </w:r>
      <w:r>
        <w:rPr>
          <w:color w:val="000000"/>
          <w:sz w:val="20"/>
          <w:szCs w:val="20"/>
          <w:lang w:eastAsia="zh-CN"/>
        </w:rPr>
        <w:t>333</w:t>
      </w:r>
      <w:r>
        <w:rPr>
          <w:rFonts w:hint="eastAsia" w:ascii="宋体" w:hAnsi="宋体" w:eastAsia="宋体" w:cs="宋体"/>
          <w:color w:val="000000"/>
          <w:sz w:val="20"/>
          <w:szCs w:val="20"/>
          <w:lang w:eastAsia="zh-CN"/>
        </w:rPr>
        <w:t>】</w:t>
      </w:r>
    </w:p>
    <w:p>
      <w:pPr>
        <w:snapToGrid w:val="0"/>
        <w:ind w:left="95" w:firstLine="1205" w:firstLineChars="600"/>
        <w:rPr>
          <w:color w:val="000000"/>
          <w:szCs w:val="21"/>
          <w:lang w:eastAsia="zh-CN"/>
        </w:rPr>
      </w:pPr>
      <w:r>
        <w:rPr>
          <w:rFonts w:ascii="宋体" w:hAnsi="宋体" w:eastAsia="宋体" w:cs="宋体"/>
          <w:b/>
          <w:bCs/>
          <w:color w:val="000000"/>
          <w:sz w:val="20"/>
          <w:szCs w:val="20"/>
          <w:lang w:eastAsia="zh-CN"/>
        </w:rPr>
        <w:t>课</w:t>
      </w:r>
      <w:r>
        <w:rPr>
          <w:rFonts w:hint="eastAsia" w:ascii="宋体" w:hAnsi="宋体" w:eastAsia="宋体" w:cs="宋体"/>
          <w:b/>
          <w:bCs/>
          <w:color w:val="000000"/>
          <w:sz w:val="20"/>
          <w:szCs w:val="20"/>
          <w:lang w:eastAsia="zh-CN"/>
        </w:rPr>
        <w:t>程学分：</w:t>
      </w:r>
      <w:r>
        <w:rPr>
          <w:rFonts w:hint="eastAsia" w:ascii="宋体" w:hAnsi="宋体" w:eastAsia="宋体" w:cs="宋体"/>
          <w:color w:val="000000"/>
          <w:sz w:val="20"/>
          <w:szCs w:val="20"/>
          <w:lang w:eastAsia="zh-CN"/>
        </w:rPr>
        <w:t>【</w:t>
      </w:r>
      <w:r>
        <w:rPr>
          <w:rFonts w:hint="eastAsia"/>
          <w:color w:val="000000"/>
          <w:sz w:val="20"/>
          <w:szCs w:val="20"/>
          <w:lang w:eastAsia="zh-CN"/>
        </w:rPr>
        <w:t>2</w:t>
      </w:r>
      <w:r>
        <w:rPr>
          <w:color w:val="000000"/>
          <w:sz w:val="20"/>
          <w:szCs w:val="20"/>
          <w:lang w:eastAsia="zh-CN"/>
        </w:rPr>
        <w:t>.0</w:t>
      </w:r>
      <w:r>
        <w:rPr>
          <w:rFonts w:hint="eastAsia" w:ascii="宋体" w:hAnsi="宋体" w:eastAsia="宋体" w:cs="宋体"/>
          <w:color w:val="000000"/>
          <w:sz w:val="20"/>
          <w:szCs w:val="20"/>
          <w:lang w:eastAsia="zh-CN"/>
        </w:rPr>
        <w:t>】</w:t>
      </w:r>
    </w:p>
    <w:p>
      <w:pPr>
        <w:snapToGrid w:val="0"/>
        <w:ind w:left="580" w:firstLine="720"/>
        <w:rPr>
          <w:color w:val="000000"/>
          <w:szCs w:val="21"/>
          <w:lang w:eastAsia="zh-CN"/>
        </w:rPr>
      </w:pPr>
      <w:r>
        <w:rPr>
          <w:rFonts w:ascii="宋体" w:hAnsi="宋体" w:eastAsia="宋体" w:cs="宋体"/>
          <w:b/>
          <w:bCs/>
          <w:color w:val="000000"/>
          <w:sz w:val="20"/>
          <w:szCs w:val="20"/>
          <w:lang w:eastAsia="zh-CN"/>
        </w:rPr>
        <w:t>面</w:t>
      </w:r>
      <w:r>
        <w:rPr>
          <w:rFonts w:hint="eastAsia" w:ascii="宋体" w:hAnsi="宋体" w:eastAsia="宋体" w:cs="宋体"/>
          <w:b/>
          <w:bCs/>
          <w:color w:val="000000"/>
          <w:sz w:val="20"/>
          <w:szCs w:val="20"/>
          <w:lang w:eastAsia="zh-CN"/>
        </w:rPr>
        <w:t>向专业：</w:t>
      </w:r>
      <w:r>
        <w:rPr>
          <w:rFonts w:hint="eastAsia" w:ascii="宋体" w:hAnsi="宋体" w:eastAsia="宋体" w:cs="宋体"/>
          <w:color w:val="000000"/>
          <w:sz w:val="20"/>
          <w:szCs w:val="20"/>
          <w:lang w:eastAsia="zh-CN"/>
        </w:rPr>
        <w:t>【英</w:t>
      </w:r>
      <w:r>
        <w:rPr>
          <w:rFonts w:hint="eastAsia" w:ascii="宋体" w:hAnsi="宋体" w:eastAsia="宋体" w:cs="宋体"/>
          <w:color w:val="000000"/>
          <w:sz w:val="20"/>
          <w:szCs w:val="20"/>
          <w:lang w:eastAsia="zh-Hans"/>
        </w:rPr>
        <w:t>语</w:t>
      </w:r>
      <w:r>
        <w:rPr>
          <w:rFonts w:hint="eastAsia" w:ascii="宋体" w:hAnsi="宋体" w:eastAsia="宋体" w:cs="宋体"/>
          <w:color w:val="000000"/>
          <w:sz w:val="20"/>
          <w:szCs w:val="20"/>
          <w:lang w:eastAsia="zh-CN"/>
        </w:rPr>
        <w:t>】</w:t>
      </w:r>
    </w:p>
    <w:p>
      <w:pPr>
        <w:snapToGrid w:val="0"/>
        <w:ind w:left="580" w:firstLine="720"/>
        <w:rPr>
          <w:color w:val="000000"/>
          <w:sz w:val="20"/>
          <w:szCs w:val="20"/>
          <w:lang w:eastAsia="zh-CN"/>
        </w:rPr>
      </w:pPr>
      <w:r>
        <w:rPr>
          <w:rFonts w:ascii="宋体" w:hAnsi="宋体" w:eastAsia="宋体" w:cs="宋体"/>
          <w:b/>
          <w:bCs/>
          <w:color w:val="000000"/>
          <w:sz w:val="20"/>
          <w:szCs w:val="20"/>
          <w:lang w:eastAsia="zh-CN"/>
        </w:rPr>
        <w:t>课</w:t>
      </w:r>
      <w:r>
        <w:rPr>
          <w:rFonts w:hint="eastAsia" w:ascii="宋体" w:hAnsi="宋体" w:eastAsia="宋体" w:cs="宋体"/>
          <w:b/>
          <w:bCs/>
          <w:color w:val="000000"/>
          <w:sz w:val="20"/>
          <w:szCs w:val="20"/>
          <w:lang w:eastAsia="zh-CN"/>
        </w:rPr>
        <w:t>程性质：</w:t>
      </w:r>
      <w:r>
        <w:rPr>
          <w:rFonts w:hint="eastAsia" w:ascii="宋体" w:hAnsi="宋体" w:eastAsia="宋体" w:cs="宋体"/>
          <w:color w:val="000000"/>
          <w:sz w:val="20"/>
          <w:szCs w:val="20"/>
          <w:lang w:eastAsia="zh-CN"/>
        </w:rPr>
        <w:t>【系专业课程】</w:t>
      </w:r>
    </w:p>
    <w:p>
      <w:pPr>
        <w:snapToGrid w:val="0"/>
        <w:ind w:left="614" w:firstLine="686"/>
        <w:rPr>
          <w:rFonts w:eastAsiaTheme="minorEastAsia"/>
          <w:b/>
          <w:bCs/>
          <w:color w:val="000000"/>
          <w:szCs w:val="21"/>
          <w:lang w:eastAsia="zh-CN"/>
        </w:rPr>
      </w:pPr>
      <w:r>
        <w:rPr>
          <w:rFonts w:ascii="宋体" w:hAnsi="宋体" w:eastAsia="宋体" w:cs="宋体"/>
          <w:b/>
          <w:bCs/>
          <w:color w:val="000000"/>
          <w:sz w:val="20"/>
          <w:szCs w:val="20"/>
          <w:lang w:eastAsia="zh-CN"/>
        </w:rPr>
        <w:t>开</w:t>
      </w:r>
      <w:r>
        <w:rPr>
          <w:rFonts w:hint="eastAsia" w:ascii="宋体" w:hAnsi="宋体" w:eastAsia="宋体" w:cs="宋体"/>
          <w:b/>
          <w:bCs/>
          <w:color w:val="000000"/>
          <w:sz w:val="20"/>
          <w:szCs w:val="20"/>
          <w:lang w:eastAsia="zh-CN"/>
        </w:rPr>
        <w:t>课院系：外国语学院英语系</w:t>
      </w:r>
    </w:p>
    <w:p>
      <w:pPr>
        <w:pStyle w:val="4"/>
        <w:tabs>
          <w:tab w:val="left" w:pos="8389"/>
        </w:tabs>
        <w:spacing w:line="335" w:lineRule="exact"/>
        <w:ind w:left="1334"/>
        <w:rPr>
          <w:rFonts w:ascii="Source Han Sans HW" w:eastAsiaTheme="minorEastAsia"/>
          <w:b/>
          <w:lang w:eastAsia="zh-CN"/>
        </w:rPr>
      </w:pPr>
      <w:r>
        <w:rPr>
          <w:rFonts w:hint="eastAsia" w:ascii="Source Han Sans HW" w:eastAsia="Source Han Sans HW"/>
          <w:b/>
          <w:lang w:eastAsia="zh-CN"/>
        </w:rPr>
        <w:t>使用教材：</w:t>
      </w:r>
    </w:p>
    <w:p>
      <w:pPr>
        <w:pStyle w:val="4"/>
        <w:tabs>
          <w:tab w:val="left" w:pos="8389"/>
        </w:tabs>
        <w:spacing w:line="335" w:lineRule="exact"/>
        <w:ind w:left="1334"/>
        <w:rPr>
          <w:rFonts w:ascii="Calibri" w:eastAsia="Calibri"/>
          <w:lang w:eastAsia="zh-CN"/>
        </w:rPr>
      </w:pPr>
      <w:r>
        <w:rPr>
          <w:rFonts w:hint="eastAsia" w:ascii="宋体" w:eastAsia="宋体"/>
          <w:lang w:eastAsia="zh-CN"/>
        </w:rPr>
        <w:t>【国际贸易实务双语教程（第</w:t>
      </w:r>
      <w:r>
        <w:rPr>
          <w:rFonts w:hint="eastAsia" w:ascii="宋体" w:eastAsia="宋体"/>
          <w:spacing w:val="-50"/>
          <w:lang w:eastAsia="zh-CN"/>
        </w:rPr>
        <w:t xml:space="preserve"> </w:t>
      </w:r>
      <w:r>
        <w:rPr>
          <w:rFonts w:ascii="Calibri" w:eastAsia="Calibri"/>
          <w:lang w:eastAsia="zh-CN"/>
        </w:rPr>
        <w:t xml:space="preserve">5 </w:t>
      </w:r>
      <w:r>
        <w:rPr>
          <w:rFonts w:hint="eastAsia" w:ascii="宋体" w:eastAsia="宋体"/>
          <w:lang w:eastAsia="zh-CN"/>
        </w:rPr>
        <w:t xml:space="preserve">版）易露露陈新华清华大学出版社 </w:t>
      </w:r>
      <w:r>
        <w:rPr>
          <w:rFonts w:ascii="Calibri" w:eastAsia="Calibri"/>
          <w:lang w:eastAsia="zh-CN"/>
        </w:rPr>
        <w:t xml:space="preserve">2016 </w:t>
      </w:r>
      <w:r>
        <w:rPr>
          <w:rFonts w:hint="eastAsia" w:ascii="宋体" w:eastAsia="宋体"/>
          <w:lang w:eastAsia="zh-CN"/>
        </w:rPr>
        <w:t>年</w:t>
      </w:r>
      <w:r>
        <w:rPr>
          <w:rFonts w:hint="eastAsia" w:ascii="宋体" w:eastAsia="宋体"/>
          <w:spacing w:val="-46"/>
          <w:lang w:eastAsia="zh-CN"/>
        </w:rPr>
        <w:t xml:space="preserve"> </w:t>
      </w:r>
      <w:r>
        <w:rPr>
          <w:rFonts w:ascii="Calibri" w:eastAsia="Calibri"/>
          <w:lang w:eastAsia="zh-CN"/>
        </w:rPr>
        <w:t>7</w:t>
      </w:r>
      <w:r>
        <w:rPr>
          <w:rFonts w:hint="eastAsia" w:ascii="宋体" w:eastAsia="宋体"/>
          <w:lang w:eastAsia="zh-CN"/>
        </w:rPr>
        <w:t xml:space="preserve">月第 </w:t>
      </w:r>
      <w:r>
        <w:rPr>
          <w:rFonts w:ascii="Calibri" w:eastAsia="Calibri"/>
          <w:lang w:eastAsia="zh-CN"/>
        </w:rPr>
        <w:t xml:space="preserve">5 </w:t>
      </w:r>
      <w:r>
        <w:rPr>
          <w:rFonts w:hint="eastAsia" w:ascii="宋体" w:eastAsia="宋体"/>
          <w:lang w:eastAsia="zh-CN"/>
        </w:rPr>
        <w:t>版】</w:t>
      </w:r>
    </w:p>
    <w:p>
      <w:pPr>
        <w:pStyle w:val="4"/>
        <w:spacing w:before="55"/>
        <w:ind w:left="720" w:firstLine="720"/>
        <w:rPr>
          <w:rFonts w:ascii="Calibri" w:eastAsia="Calibri"/>
          <w:lang w:eastAsia="zh-CN"/>
        </w:rPr>
      </w:pPr>
      <w:r>
        <w:rPr>
          <w:rFonts w:hint="eastAsia" w:ascii="宋体" w:eastAsia="宋体"/>
          <w:lang w:eastAsia="zh-CN"/>
        </w:rPr>
        <w:t xml:space="preserve">参考书目【国际贸易实务（第六版）黎孝先王健对外经济贸易大学出版社 </w:t>
      </w:r>
      <w:r>
        <w:rPr>
          <w:rFonts w:ascii="Calibri" w:eastAsia="Calibri"/>
          <w:lang w:eastAsia="zh-CN"/>
        </w:rPr>
        <w:t>2016</w:t>
      </w:r>
      <w:r>
        <w:rPr>
          <w:rFonts w:hint="eastAsia" w:ascii="宋体" w:eastAsia="宋体"/>
          <w:lang w:eastAsia="zh-CN"/>
        </w:rPr>
        <w:t>年</w:t>
      </w:r>
      <w:r>
        <w:rPr>
          <w:rFonts w:ascii="Calibri" w:eastAsia="Calibri"/>
          <w:lang w:eastAsia="zh-CN"/>
        </w:rPr>
        <w:t>1</w:t>
      </w:r>
      <w:r>
        <w:rPr>
          <w:rFonts w:hint="eastAsia" w:ascii="宋体" w:eastAsia="宋体"/>
          <w:lang w:eastAsia="zh-CN"/>
        </w:rPr>
        <w:t>月第</w:t>
      </w:r>
      <w:r>
        <w:rPr>
          <w:rFonts w:ascii="Calibri" w:eastAsia="Calibri"/>
          <w:lang w:eastAsia="zh-CN"/>
        </w:rPr>
        <w:t>1</w:t>
      </w:r>
      <w:r>
        <w:rPr>
          <w:rFonts w:hint="eastAsia" w:ascii="宋体" w:eastAsia="宋体"/>
          <w:lang w:eastAsia="zh-CN"/>
        </w:rPr>
        <w:t>版】</w:t>
      </w:r>
    </w:p>
    <w:p>
      <w:pPr>
        <w:pStyle w:val="4"/>
        <w:spacing w:before="55"/>
        <w:ind w:left="2358"/>
        <w:rPr>
          <w:rFonts w:ascii="宋体" w:eastAsia="宋体"/>
          <w:lang w:eastAsia="zh-CN"/>
        </w:rPr>
      </w:pPr>
      <w:r>
        <w:rPr>
          <w:rFonts w:hint="eastAsia" w:ascii="宋体" w:eastAsia="宋体"/>
          <w:lang w:eastAsia="zh-CN"/>
        </w:rPr>
        <w:t xml:space="preserve">【国际贸易实务（第三版）冷柏军高等教育出版社 </w:t>
      </w:r>
      <w:r>
        <w:rPr>
          <w:rFonts w:ascii="Calibri" w:eastAsia="Calibri"/>
          <w:lang w:eastAsia="zh-CN"/>
        </w:rPr>
        <w:t xml:space="preserve">2013 </w:t>
      </w:r>
      <w:r>
        <w:rPr>
          <w:rFonts w:hint="eastAsia" w:ascii="宋体" w:eastAsia="宋体"/>
          <w:lang w:eastAsia="zh-CN"/>
        </w:rPr>
        <w:t xml:space="preserve">年 </w:t>
      </w:r>
      <w:r>
        <w:rPr>
          <w:rFonts w:ascii="Calibri" w:eastAsia="Calibri"/>
          <w:lang w:eastAsia="zh-CN"/>
        </w:rPr>
        <w:t xml:space="preserve">4 </w:t>
      </w:r>
      <w:r>
        <w:rPr>
          <w:rFonts w:hint="eastAsia" w:ascii="宋体" w:eastAsia="宋体"/>
          <w:lang w:eastAsia="zh-CN"/>
        </w:rPr>
        <w:t xml:space="preserve">月第 </w:t>
      </w:r>
      <w:r>
        <w:rPr>
          <w:rFonts w:ascii="Calibri" w:eastAsia="Calibri"/>
          <w:lang w:eastAsia="zh-CN"/>
        </w:rPr>
        <w:t xml:space="preserve">3 </w:t>
      </w:r>
      <w:r>
        <w:rPr>
          <w:rFonts w:hint="eastAsia" w:ascii="宋体" w:eastAsia="宋体"/>
          <w:lang w:eastAsia="zh-CN"/>
        </w:rPr>
        <w:t>版】</w:t>
      </w:r>
    </w:p>
    <w:p>
      <w:pPr>
        <w:pStyle w:val="4"/>
        <w:spacing w:before="55"/>
        <w:ind w:left="2358"/>
        <w:rPr>
          <w:rFonts w:ascii="Calibri" w:hAnsi="Calibri" w:eastAsia="Calibri"/>
          <w:lang w:eastAsia="zh-CN"/>
        </w:rPr>
      </w:pPr>
      <w:r>
        <w:rPr>
          <w:rFonts w:hint="eastAsia" w:ascii="宋体" w:hAnsi="宋体" w:eastAsia="宋体"/>
          <w:lang w:eastAsia="zh-CN"/>
        </w:rPr>
        <w:t>【国际贸易术语解释通则</w:t>
      </w:r>
      <w:r>
        <w:rPr>
          <w:rFonts w:ascii="Calibri" w:hAnsi="Calibri" w:eastAsia="Calibri"/>
          <w:vertAlign w:val="superscript"/>
          <w:lang w:eastAsia="zh-CN"/>
        </w:rPr>
        <w:t>®</w:t>
      </w:r>
      <w:r>
        <w:rPr>
          <w:rFonts w:ascii="Calibri" w:hAnsi="Calibri" w:eastAsia="Calibri"/>
          <w:lang w:eastAsia="zh-CN"/>
        </w:rPr>
        <w:t>2010</w:t>
      </w:r>
      <w:r>
        <w:rPr>
          <w:rFonts w:hint="eastAsia" w:ascii="宋体" w:hAnsi="宋体" w:eastAsia="宋体"/>
          <w:lang w:eastAsia="zh-CN"/>
        </w:rPr>
        <w:t>（</w:t>
      </w:r>
      <w:r>
        <w:rPr>
          <w:rFonts w:ascii="Calibri" w:hAnsi="Calibri" w:eastAsia="Calibri"/>
          <w:lang w:eastAsia="zh-CN"/>
        </w:rPr>
        <w:t>Incoterms</w:t>
      </w:r>
      <w:r>
        <w:rPr>
          <w:rFonts w:ascii="Calibri" w:hAnsi="Calibri" w:eastAsia="Calibri"/>
          <w:vertAlign w:val="superscript"/>
          <w:lang w:eastAsia="zh-CN"/>
        </w:rPr>
        <w:t>®</w:t>
      </w:r>
      <w:r>
        <w:rPr>
          <w:rFonts w:ascii="Calibri" w:hAnsi="Calibri" w:eastAsia="Calibri"/>
          <w:lang w:eastAsia="zh-CN"/>
        </w:rPr>
        <w:t xml:space="preserve"> 2010</w:t>
      </w:r>
      <w:r>
        <w:rPr>
          <w:rFonts w:hint="eastAsia" w:ascii="宋体" w:hAnsi="宋体" w:eastAsia="宋体"/>
          <w:lang w:eastAsia="zh-CN"/>
        </w:rPr>
        <w:t>）国际商会编写中国国际商会</w:t>
      </w:r>
      <w:r>
        <w:rPr>
          <w:rFonts w:ascii="Calibri" w:hAnsi="Calibri" w:eastAsia="Calibri"/>
          <w:lang w:eastAsia="zh-CN"/>
        </w:rPr>
        <w:t>/</w:t>
      </w:r>
      <w:r>
        <w:rPr>
          <w:rFonts w:hint="eastAsia" w:ascii="宋体" w:eastAsia="宋体"/>
          <w:lang w:eastAsia="zh-CN"/>
        </w:rPr>
        <w:t xml:space="preserve">国际商会中国委员会组织编译中国民主法治出版社 </w:t>
      </w:r>
      <w:r>
        <w:rPr>
          <w:rFonts w:ascii="Calibri" w:eastAsia="Calibri"/>
          <w:lang w:eastAsia="zh-CN"/>
        </w:rPr>
        <w:t xml:space="preserve">2011 </w:t>
      </w:r>
      <w:r>
        <w:rPr>
          <w:rFonts w:hint="eastAsia" w:ascii="宋体" w:eastAsia="宋体"/>
          <w:lang w:eastAsia="zh-CN"/>
        </w:rPr>
        <w:t xml:space="preserve">年 </w:t>
      </w:r>
      <w:r>
        <w:rPr>
          <w:rFonts w:ascii="Calibri" w:eastAsia="Calibri"/>
          <w:lang w:eastAsia="zh-CN"/>
        </w:rPr>
        <w:t xml:space="preserve">1 </w:t>
      </w:r>
      <w:r>
        <w:rPr>
          <w:rFonts w:hint="eastAsia" w:ascii="宋体" w:eastAsia="宋体"/>
          <w:lang w:eastAsia="zh-CN"/>
        </w:rPr>
        <w:t xml:space="preserve">月第 </w:t>
      </w:r>
      <w:r>
        <w:rPr>
          <w:rFonts w:ascii="Calibri" w:eastAsia="Calibri"/>
          <w:lang w:eastAsia="zh-CN"/>
        </w:rPr>
        <w:t xml:space="preserve">1 </w:t>
      </w:r>
      <w:r>
        <w:rPr>
          <w:rFonts w:hint="eastAsia" w:ascii="宋体" w:eastAsia="宋体"/>
          <w:lang w:eastAsia="zh-CN"/>
        </w:rPr>
        <w:t>版】</w:t>
      </w:r>
    </w:p>
    <w:p>
      <w:pPr>
        <w:pStyle w:val="4"/>
        <w:spacing w:before="55" w:line="290" w:lineRule="auto"/>
        <w:ind w:left="2358" w:right="319"/>
        <w:rPr>
          <w:rFonts w:ascii="宋体" w:eastAsia="宋体"/>
          <w:lang w:eastAsia="zh-CN"/>
        </w:rPr>
      </w:pPr>
      <w:r>
        <w:rPr>
          <w:rFonts w:hint="eastAsia" w:ascii="宋体" w:eastAsia="宋体"/>
          <w:lang w:eastAsia="zh-CN"/>
        </w:rPr>
        <w:t>【</w:t>
      </w:r>
      <w:r>
        <w:rPr>
          <w:rFonts w:ascii="Calibri" w:eastAsia="Calibri"/>
          <w:lang w:eastAsia="zh-CN"/>
        </w:rPr>
        <w:t xml:space="preserve">UCP600 ICC </w:t>
      </w:r>
      <w:r>
        <w:rPr>
          <w:rFonts w:hint="eastAsia" w:ascii="宋体" w:eastAsia="宋体"/>
          <w:lang w:eastAsia="zh-CN"/>
        </w:rPr>
        <w:t>跟单信用证统一惯例（</w:t>
      </w:r>
      <w:r>
        <w:rPr>
          <w:rFonts w:ascii="Calibri" w:eastAsia="Calibri"/>
          <w:lang w:eastAsia="zh-CN"/>
        </w:rPr>
        <w:t xml:space="preserve">2007 </w:t>
      </w:r>
      <w:r>
        <w:rPr>
          <w:rFonts w:hint="eastAsia" w:ascii="宋体" w:eastAsia="宋体"/>
          <w:lang w:eastAsia="zh-CN"/>
        </w:rPr>
        <w:t>年修订本）国际商会中国民主法治出版社</w:t>
      </w:r>
      <w:r>
        <w:rPr>
          <w:rFonts w:ascii="Calibri" w:eastAsia="Calibri"/>
          <w:lang w:eastAsia="zh-CN"/>
        </w:rPr>
        <w:t xml:space="preserve">2006 </w:t>
      </w:r>
      <w:r>
        <w:rPr>
          <w:rFonts w:hint="eastAsia" w:ascii="宋体" w:eastAsia="宋体"/>
          <w:lang w:eastAsia="zh-CN"/>
        </w:rPr>
        <w:t xml:space="preserve">年 </w:t>
      </w:r>
      <w:r>
        <w:rPr>
          <w:rFonts w:ascii="Calibri" w:eastAsia="Calibri"/>
          <w:lang w:eastAsia="zh-CN"/>
        </w:rPr>
        <w:t xml:space="preserve">11 </w:t>
      </w:r>
      <w:r>
        <w:rPr>
          <w:rFonts w:hint="eastAsia" w:ascii="宋体" w:eastAsia="宋体"/>
          <w:lang w:eastAsia="zh-CN"/>
        </w:rPr>
        <w:t xml:space="preserve">月第 </w:t>
      </w:r>
      <w:r>
        <w:rPr>
          <w:rFonts w:ascii="Calibri" w:eastAsia="Calibri"/>
          <w:lang w:eastAsia="zh-CN"/>
        </w:rPr>
        <w:t xml:space="preserve">1 </w:t>
      </w:r>
      <w:r>
        <w:rPr>
          <w:rFonts w:hint="eastAsia" w:ascii="宋体" w:eastAsia="宋体"/>
          <w:lang w:eastAsia="zh-CN"/>
        </w:rPr>
        <w:t>版】</w:t>
      </w:r>
    </w:p>
    <w:p>
      <w:pPr>
        <w:pStyle w:val="3"/>
        <w:spacing w:before="0" w:line="271" w:lineRule="exact"/>
        <w:ind w:left="1332"/>
        <w:rPr>
          <w:rFonts w:ascii="Source Han Sans HW" w:eastAsiaTheme="minorEastAsia"/>
          <w:lang w:eastAsia="zh-CN"/>
        </w:rPr>
      </w:pPr>
      <w:r>
        <w:rPr>
          <w:rFonts w:hint="eastAsia" w:ascii="Source Han Sans HW" w:eastAsia="Source Han Sans HW"/>
          <w:lang w:eastAsia="zh-CN"/>
        </w:rPr>
        <w:t>课程网站网址：</w:t>
      </w:r>
      <w:r>
        <w:rPr>
          <w:rFonts w:hint="eastAsia" w:ascii="Source Han Sans HW" w:eastAsiaTheme="minorEastAsia"/>
          <w:lang w:eastAsia="zh-CN"/>
        </w:rPr>
        <w:t xml:space="preserve"> </w:t>
      </w:r>
      <w:r>
        <w:fldChar w:fldCharType="begin"/>
      </w:r>
      <w:r>
        <w:instrText xml:space="preserve"> HYPERLINK "http://218.19.119.236:8080/trade/course-study/givelesson-ppt/ppt1.html" </w:instrText>
      </w:r>
      <w:r>
        <w:fldChar w:fldCharType="separate"/>
      </w:r>
      <w:r>
        <w:rPr>
          <w:rStyle w:val="11"/>
          <w:rFonts w:ascii="Source Han Sans HW" w:eastAsiaTheme="minorEastAsia"/>
          <w:lang w:eastAsia="zh-CN"/>
        </w:rPr>
        <w:t>http://218.19.119.236:8080/trade/course-study/givelesson-ppt/ppt1.html</w:t>
      </w:r>
      <w:r>
        <w:rPr>
          <w:rStyle w:val="11"/>
          <w:rFonts w:ascii="Source Han Sans HW" w:eastAsiaTheme="minorEastAsia"/>
          <w:lang w:eastAsia="zh-CN"/>
        </w:rPr>
        <w:fldChar w:fldCharType="end"/>
      </w:r>
      <w:r>
        <w:rPr>
          <w:rFonts w:hint="eastAsia" w:ascii="Source Han Sans HW" w:eastAsiaTheme="minorEastAsia"/>
          <w:lang w:eastAsia="zh-CN"/>
        </w:rPr>
        <w:t xml:space="preserve"> </w:t>
      </w:r>
    </w:p>
    <w:p>
      <w:pPr>
        <w:spacing w:line="358" w:lineRule="exact"/>
        <w:ind w:left="1332"/>
        <w:rPr>
          <w:rFonts w:ascii="宋体" w:eastAsia="宋体"/>
          <w:sz w:val="20"/>
          <w:lang w:eastAsia="zh-CN"/>
        </w:rPr>
      </w:pPr>
      <w:r>
        <w:rPr>
          <w:rFonts w:hint="eastAsia" w:ascii="Source Han Sans HW" w:eastAsia="Source Han Sans HW"/>
          <w:b/>
          <w:spacing w:val="1"/>
          <w:sz w:val="20"/>
          <w:lang w:eastAsia="zh-CN"/>
        </w:rPr>
        <w:t>先修课程：</w:t>
      </w:r>
      <w:r>
        <w:rPr>
          <w:rFonts w:hint="eastAsia" w:ascii="宋体" w:eastAsia="宋体"/>
          <w:sz w:val="20"/>
          <w:lang w:eastAsia="zh-CN"/>
        </w:rPr>
        <w:t>【国际贸易 2060052（3</w:t>
      </w:r>
      <w:r>
        <w:rPr>
          <w:rFonts w:hint="eastAsia" w:ascii="宋体" w:eastAsia="宋体"/>
          <w:spacing w:val="-100"/>
          <w:sz w:val="20"/>
          <w:lang w:eastAsia="zh-CN"/>
        </w:rPr>
        <w:t>）</w:t>
      </w:r>
      <w:r>
        <w:rPr>
          <w:rFonts w:hint="eastAsia" w:ascii="宋体" w:eastAsia="宋体"/>
          <w:sz w:val="20"/>
          <w:lang w:eastAsia="zh-CN"/>
        </w:rPr>
        <w:t>】</w:t>
      </w:r>
    </w:p>
    <w:p>
      <w:pPr>
        <w:pStyle w:val="4"/>
        <w:spacing w:before="8"/>
        <w:rPr>
          <w:rFonts w:ascii="宋体"/>
          <w:sz w:val="22"/>
          <w:lang w:eastAsia="zh-CN"/>
        </w:rPr>
      </w:pPr>
    </w:p>
    <w:p>
      <w:pPr>
        <w:pStyle w:val="2"/>
        <w:tabs>
          <w:tab w:val="left" w:pos="2019"/>
        </w:tabs>
        <w:rPr>
          <w:rFonts w:ascii="黑体" w:eastAsia="黑体"/>
          <w:lang w:eastAsia="zh-CN"/>
        </w:rPr>
      </w:pPr>
      <w:r>
        <w:rPr>
          <w:rFonts w:hint="eastAsia" w:ascii="黑体" w:eastAsia="黑体"/>
          <w:lang w:eastAsia="zh-CN"/>
        </w:rPr>
        <w:t>二、</w:t>
      </w:r>
      <w:r>
        <w:rPr>
          <w:rFonts w:hint="eastAsia" w:ascii="黑体" w:eastAsia="黑体"/>
          <w:lang w:eastAsia="zh-CN"/>
        </w:rPr>
        <w:tab/>
      </w:r>
      <w:r>
        <w:rPr>
          <w:rFonts w:hint="eastAsia" w:ascii="黑体" w:eastAsia="黑体"/>
          <w:lang w:eastAsia="zh-CN"/>
        </w:rPr>
        <w:t>课程简介</w:t>
      </w:r>
    </w:p>
    <w:p>
      <w:pPr>
        <w:ind w:left="940" w:right="318" w:firstLine="470"/>
        <w:jc w:val="both"/>
        <w:rPr>
          <w:sz w:val="21"/>
          <w:szCs w:val="21"/>
        </w:rPr>
      </w:pPr>
      <w:r>
        <w:rPr>
          <w:sz w:val="21"/>
          <w:szCs w:val="21"/>
        </w:rPr>
        <w:t>To learn the theory and practice of International trade, this course</w:t>
      </w:r>
      <w:r>
        <w:rPr>
          <w:rFonts w:eastAsiaTheme="minorEastAsia"/>
          <w:sz w:val="21"/>
          <w:szCs w:val="21"/>
          <w:lang w:eastAsia="zh-CN"/>
        </w:rPr>
        <w:t xml:space="preserve"> </w:t>
      </w:r>
      <w:r>
        <w:rPr>
          <w:sz w:val="21"/>
          <w:szCs w:val="21"/>
        </w:rPr>
        <w:t>has</w:t>
      </w:r>
      <w:r>
        <w:rPr>
          <w:rFonts w:eastAsiaTheme="minorEastAsia"/>
          <w:sz w:val="21"/>
          <w:szCs w:val="21"/>
          <w:lang w:eastAsia="zh-CN"/>
        </w:rPr>
        <w:t xml:space="preserve"> </w:t>
      </w:r>
      <w:r>
        <w:rPr>
          <w:sz w:val="21"/>
          <w:szCs w:val="21"/>
        </w:rPr>
        <w:t>combined the conventional law and business technology, theory and practice. In this course, it introduces general procedures of Export and Import transaction, contracts for the sale and purchase of international commodity, trade terms and etc. In each business segment, we have to learn the theory and knowledge, also we should learn how to use it in our real life.</w:t>
      </w:r>
    </w:p>
    <w:p>
      <w:pPr>
        <w:ind w:left="940" w:right="318" w:firstLine="470"/>
        <w:jc w:val="both"/>
        <w:rPr>
          <w:rFonts w:eastAsiaTheme="minorEastAsia"/>
          <w:sz w:val="21"/>
          <w:szCs w:val="21"/>
          <w:lang w:eastAsia="zh-CN"/>
        </w:rPr>
      </w:pPr>
      <w:r>
        <w:rPr>
          <w:sz w:val="21"/>
          <w:szCs w:val="21"/>
        </w:rPr>
        <w:t>In this course, the students should learn the procedure of export and import, and to practice some of the basic knowledge, to solve the problem of international trade.</w:t>
      </w:r>
    </w:p>
    <w:p>
      <w:pPr>
        <w:ind w:left="940" w:right="318" w:firstLine="470"/>
        <w:jc w:val="both"/>
        <w:rPr>
          <w:rFonts w:asciiTheme="minorHAnsi" w:hAnsiTheme="minorHAnsi" w:eastAsiaTheme="minorEastAsia" w:cstheme="minorHAnsi"/>
          <w:sz w:val="21"/>
          <w:szCs w:val="21"/>
          <w:lang w:eastAsia="zh-CN"/>
        </w:rPr>
      </w:pPr>
      <w:r>
        <w:rPr>
          <w:rFonts w:hint="eastAsia" w:asciiTheme="minorHAnsi" w:hAnsiTheme="minorHAnsi" w:eastAsiaTheme="minorEastAsia" w:cstheme="minorHAnsi"/>
          <w:sz w:val="21"/>
          <w:szCs w:val="21"/>
          <w:lang w:eastAsia="zh-CN"/>
        </w:rPr>
        <w:t>另外，通过“师，时，史，势”四个方面的考量，与课本章节内容相对应，融入课程思政元素。主要体现有：</w:t>
      </w:r>
    </w:p>
    <w:p>
      <w:pPr>
        <w:ind w:left="940" w:right="318" w:firstLine="470"/>
        <w:jc w:val="both"/>
        <w:rPr>
          <w:rFonts w:asciiTheme="minorHAnsi" w:hAnsiTheme="minorHAnsi" w:eastAsiaTheme="minorEastAsia" w:cstheme="minorHAnsi"/>
          <w:sz w:val="21"/>
          <w:szCs w:val="21"/>
          <w:lang w:eastAsia="zh-CN"/>
        </w:rPr>
      </w:pPr>
      <w:r>
        <w:rPr>
          <w:rFonts w:hint="eastAsia" w:asciiTheme="minorHAnsi" w:hAnsiTheme="minorHAnsi" w:eastAsiaTheme="minorEastAsia" w:cstheme="minorHAnsi"/>
          <w:sz w:val="21"/>
          <w:szCs w:val="21"/>
          <w:lang w:eastAsia="zh-CN"/>
        </w:rPr>
        <w:t>a. 通过观看“各国商品出口总额演变（</w:t>
      </w:r>
      <w:r>
        <w:rPr>
          <w:rFonts w:asciiTheme="minorHAnsi" w:hAnsiTheme="minorHAnsi" w:eastAsiaTheme="minorEastAsia" w:cstheme="minorHAnsi"/>
          <w:sz w:val="21"/>
          <w:szCs w:val="21"/>
          <w:lang w:eastAsia="zh-CN"/>
        </w:rPr>
        <w:t>1960-2017</w:t>
      </w:r>
      <w:r>
        <w:rPr>
          <w:rFonts w:hint="eastAsia" w:asciiTheme="minorHAnsi" w:hAnsiTheme="minorHAnsi" w:eastAsiaTheme="minorEastAsia" w:cstheme="minorHAnsi"/>
          <w:sz w:val="21"/>
          <w:szCs w:val="21"/>
          <w:lang w:eastAsia="zh-CN"/>
        </w:rPr>
        <w:t>）”视频，“中国高铁发展史”的视频等，讲述中国在国际贸易领域中的崛起，中国签订RCEP的国际时事，培养</w:t>
      </w:r>
      <w:r>
        <w:rPr>
          <w:rFonts w:hint="eastAsia" w:asciiTheme="minorHAnsi" w:hAnsiTheme="minorHAnsi" w:eastAsiaTheme="minorEastAsia" w:cstheme="minorHAnsi"/>
          <w:sz w:val="21"/>
          <w:szCs w:val="21"/>
          <w:u w:val="single"/>
          <w:lang w:eastAsia="zh-CN"/>
        </w:rPr>
        <w:t>大国情怀和民族自豪感</w:t>
      </w:r>
      <w:r>
        <w:rPr>
          <w:rFonts w:hint="eastAsia" w:asciiTheme="minorHAnsi" w:hAnsiTheme="minorHAnsi" w:eastAsiaTheme="minorEastAsia" w:cstheme="minorHAnsi"/>
          <w:sz w:val="21"/>
          <w:szCs w:val="21"/>
          <w:lang w:eastAsia="zh-CN"/>
        </w:rPr>
        <w:t xml:space="preserve">； </w:t>
      </w:r>
    </w:p>
    <w:p>
      <w:pPr>
        <w:ind w:left="650" w:right="-50" w:firstLine="770"/>
        <w:rPr>
          <w:rFonts w:asciiTheme="minorHAnsi" w:hAnsiTheme="minorHAnsi" w:eastAsiaTheme="minorEastAsia" w:cstheme="minorHAnsi"/>
          <w:sz w:val="21"/>
          <w:szCs w:val="21"/>
          <w:lang w:eastAsia="zh-CN"/>
        </w:rPr>
      </w:pPr>
      <w:r>
        <w:rPr>
          <w:rFonts w:hint="eastAsia" w:asciiTheme="minorHAnsi" w:hAnsiTheme="minorHAnsi" w:eastAsiaTheme="minorEastAsia" w:cstheme="minorHAnsi"/>
          <w:sz w:val="21"/>
          <w:szCs w:val="21"/>
          <w:lang w:eastAsia="zh-CN"/>
        </w:rPr>
        <w:t>b. “</w:t>
      </w:r>
      <w:r>
        <w:rPr>
          <w:rFonts w:hint="eastAsia" w:asciiTheme="minorHAnsi" w:hAnsiTheme="minorHAnsi" w:eastAsiaTheme="minorEastAsia" w:cstheme="minorHAnsi"/>
          <w:sz w:val="21"/>
          <w:szCs w:val="21"/>
          <w:u w:val="single"/>
          <w:lang w:eastAsia="zh-CN"/>
        </w:rPr>
        <w:t>诚信</w:t>
      </w:r>
      <w:r>
        <w:rPr>
          <w:rFonts w:hint="eastAsia" w:asciiTheme="minorHAnsi" w:hAnsiTheme="minorHAnsi" w:eastAsiaTheme="minorEastAsia" w:cstheme="minorHAnsi"/>
          <w:sz w:val="21"/>
          <w:szCs w:val="21"/>
          <w:lang w:eastAsia="zh-CN"/>
        </w:rPr>
        <w:t>”意识的建立：通过反面案例，对学生进行贸易谈判，签订合同，履行合同中“诚信”问题的教育；</w:t>
      </w:r>
    </w:p>
    <w:p>
      <w:pPr>
        <w:ind w:left="650" w:right="-50" w:firstLine="770"/>
        <w:jc w:val="both"/>
        <w:rPr>
          <w:rFonts w:asciiTheme="minorHAnsi" w:hAnsiTheme="minorHAnsi" w:eastAsiaTheme="minorEastAsia" w:cstheme="minorHAnsi"/>
          <w:sz w:val="21"/>
          <w:szCs w:val="21"/>
          <w:lang w:eastAsia="zh-CN"/>
        </w:rPr>
      </w:pPr>
      <w:r>
        <w:rPr>
          <w:rFonts w:hint="eastAsia" w:asciiTheme="minorHAnsi" w:hAnsiTheme="minorHAnsi" w:eastAsiaTheme="minorEastAsia" w:cstheme="minorHAnsi"/>
          <w:sz w:val="21"/>
          <w:szCs w:val="21"/>
          <w:lang w:eastAsia="zh-CN"/>
        </w:rPr>
        <w:t>c. 通过对国际贸易中文化差异的案例剖析，培养学生</w:t>
      </w:r>
      <w:r>
        <w:rPr>
          <w:rFonts w:hint="eastAsia" w:asciiTheme="minorHAnsi" w:hAnsiTheme="minorHAnsi" w:eastAsiaTheme="minorEastAsia" w:cstheme="minorHAnsi"/>
          <w:sz w:val="21"/>
          <w:szCs w:val="21"/>
          <w:u w:val="single"/>
          <w:lang w:eastAsia="zh-CN"/>
        </w:rPr>
        <w:t>国际视野和多元文化的意识</w:t>
      </w:r>
      <w:r>
        <w:rPr>
          <w:rFonts w:hint="eastAsia" w:asciiTheme="minorHAnsi" w:hAnsiTheme="minorHAnsi" w:eastAsiaTheme="minorEastAsia" w:cstheme="minorHAnsi"/>
          <w:sz w:val="21"/>
          <w:szCs w:val="21"/>
          <w:lang w:eastAsia="zh-CN"/>
        </w:rPr>
        <w:t>；</w:t>
      </w:r>
    </w:p>
    <w:p>
      <w:pPr>
        <w:ind w:left="650" w:right="-50" w:firstLine="770"/>
        <w:jc w:val="both"/>
        <w:rPr>
          <w:rFonts w:asciiTheme="minorHAnsi" w:hAnsiTheme="minorHAnsi" w:eastAsiaTheme="minorEastAsia" w:cstheme="minorHAnsi"/>
          <w:sz w:val="21"/>
          <w:szCs w:val="21"/>
          <w:lang w:eastAsia="zh-CN"/>
        </w:rPr>
      </w:pPr>
      <w:r>
        <w:rPr>
          <w:rFonts w:hint="eastAsia" w:asciiTheme="minorHAnsi" w:hAnsiTheme="minorHAnsi" w:eastAsiaTheme="minorEastAsia" w:cstheme="minorHAnsi"/>
          <w:sz w:val="21"/>
          <w:szCs w:val="21"/>
          <w:lang w:eastAsia="zh-CN"/>
        </w:rPr>
        <w:t>d. 通过对课本错误内容的纠正，培养学生</w:t>
      </w:r>
      <w:r>
        <w:rPr>
          <w:rFonts w:asciiTheme="minorHAnsi" w:hAnsiTheme="minorHAnsi" w:eastAsiaTheme="minorEastAsia" w:cstheme="minorHAnsi"/>
          <w:sz w:val="21"/>
          <w:szCs w:val="21"/>
          <w:u w:val="single"/>
          <w:lang w:eastAsia="zh-CN"/>
        </w:rPr>
        <w:t>critical thinking</w:t>
      </w:r>
      <w:r>
        <w:rPr>
          <w:rFonts w:hint="eastAsia" w:asciiTheme="minorHAnsi" w:hAnsiTheme="minorHAnsi" w:eastAsiaTheme="minorEastAsia" w:cstheme="minorHAnsi"/>
          <w:sz w:val="21"/>
          <w:szCs w:val="21"/>
          <w:u w:val="single"/>
          <w:lang w:eastAsia="zh-CN"/>
        </w:rPr>
        <w:t>的能力和对问题的探索精神</w:t>
      </w:r>
      <w:r>
        <w:rPr>
          <w:rFonts w:hint="eastAsia" w:asciiTheme="minorHAnsi" w:hAnsiTheme="minorHAnsi" w:eastAsiaTheme="minorEastAsia" w:cstheme="minorHAnsi"/>
          <w:sz w:val="21"/>
          <w:szCs w:val="21"/>
          <w:lang w:eastAsia="zh-CN"/>
        </w:rPr>
        <w:t>；</w:t>
      </w:r>
    </w:p>
    <w:p>
      <w:pPr>
        <w:ind w:left="940" w:right="318" w:firstLine="470"/>
        <w:jc w:val="both"/>
        <w:rPr>
          <w:rFonts w:asciiTheme="minorHAnsi" w:hAnsiTheme="minorHAnsi" w:eastAsiaTheme="minorEastAsia" w:cstheme="minorHAnsi"/>
          <w:sz w:val="21"/>
          <w:szCs w:val="21"/>
          <w:lang w:eastAsia="zh-CN"/>
        </w:rPr>
      </w:pPr>
      <w:r>
        <w:rPr>
          <w:rFonts w:hint="eastAsia" w:asciiTheme="minorHAnsi" w:hAnsiTheme="minorHAnsi" w:eastAsiaTheme="minorEastAsia" w:cstheme="minorHAnsi"/>
          <w:sz w:val="21"/>
          <w:szCs w:val="21"/>
          <w:lang w:eastAsia="zh-CN"/>
        </w:rPr>
        <w:t>e. 通过对银行借贷反例的剖析，引导学生正确理解“负债”的概念，帮助学生建立健康的</w:t>
      </w:r>
      <w:r>
        <w:rPr>
          <w:rFonts w:hint="eastAsia" w:asciiTheme="minorHAnsi" w:hAnsiTheme="minorHAnsi" w:eastAsiaTheme="minorEastAsia" w:cstheme="minorHAnsi"/>
          <w:sz w:val="21"/>
          <w:szCs w:val="21"/>
          <w:u w:val="single"/>
          <w:lang w:eastAsia="zh-CN"/>
        </w:rPr>
        <w:t>金钱观和价值观</w:t>
      </w:r>
      <w:r>
        <w:rPr>
          <w:rFonts w:hint="eastAsia" w:asciiTheme="minorHAnsi" w:hAnsiTheme="minorHAnsi" w:eastAsiaTheme="minorEastAsia" w:cstheme="minorHAnsi"/>
          <w:sz w:val="21"/>
          <w:szCs w:val="21"/>
          <w:lang w:eastAsia="zh-CN"/>
        </w:rPr>
        <w:t>；</w:t>
      </w:r>
    </w:p>
    <w:p>
      <w:pPr>
        <w:ind w:left="940" w:right="318" w:firstLine="470"/>
        <w:jc w:val="both"/>
        <w:rPr>
          <w:rFonts w:asciiTheme="minorHAnsi" w:hAnsiTheme="minorHAnsi" w:eastAsiaTheme="minorEastAsia" w:cstheme="minorHAnsi"/>
          <w:sz w:val="21"/>
          <w:szCs w:val="21"/>
          <w:lang w:eastAsia="zh-CN"/>
        </w:rPr>
      </w:pPr>
      <w:r>
        <w:rPr>
          <w:rFonts w:hint="eastAsia" w:asciiTheme="minorHAnsi" w:hAnsiTheme="minorHAnsi" w:eastAsiaTheme="minorEastAsia" w:cstheme="minorHAnsi"/>
          <w:sz w:val="21"/>
          <w:szCs w:val="21"/>
          <w:lang w:eastAsia="zh-CN"/>
        </w:rPr>
        <w:t>f. 通过对中国在国际贸易大环境中目前仍存在的劣势和困难进行探讨，培养学生“</w:t>
      </w:r>
      <w:r>
        <w:rPr>
          <w:rFonts w:hint="eastAsia" w:asciiTheme="minorHAnsi" w:hAnsiTheme="minorHAnsi" w:eastAsiaTheme="minorEastAsia" w:cstheme="minorHAnsi"/>
          <w:sz w:val="21"/>
          <w:szCs w:val="21"/>
          <w:u w:val="single"/>
          <w:lang w:eastAsia="zh-CN"/>
        </w:rPr>
        <w:t>社会主义主人翁</w:t>
      </w:r>
      <w:r>
        <w:rPr>
          <w:rFonts w:hint="eastAsia" w:asciiTheme="minorHAnsi" w:hAnsiTheme="minorHAnsi" w:eastAsiaTheme="minorEastAsia" w:cstheme="minorHAnsi"/>
          <w:sz w:val="21"/>
          <w:szCs w:val="21"/>
          <w:lang w:eastAsia="zh-CN"/>
        </w:rPr>
        <w:t>”意识，为“中国之崛起”而努力；</w:t>
      </w:r>
    </w:p>
    <w:p>
      <w:pPr>
        <w:ind w:left="940" w:right="318" w:firstLine="470"/>
        <w:jc w:val="both"/>
        <w:rPr>
          <w:rFonts w:asciiTheme="minorHAnsi" w:hAnsiTheme="minorHAnsi" w:eastAsiaTheme="minorEastAsia" w:cstheme="minorHAnsi"/>
          <w:sz w:val="21"/>
          <w:szCs w:val="21"/>
          <w:lang w:eastAsia="zh-CN"/>
        </w:rPr>
      </w:pPr>
      <w:r>
        <w:rPr>
          <w:rFonts w:hint="eastAsia" w:asciiTheme="minorHAnsi" w:hAnsiTheme="minorHAnsi" w:eastAsiaTheme="minorEastAsia" w:cstheme="minorHAnsi"/>
          <w:sz w:val="21"/>
          <w:szCs w:val="21"/>
          <w:lang w:eastAsia="zh-CN"/>
        </w:rPr>
        <w:t>g. 通过对国际贸易纠纷案件的解析，教导学生学习法律，遵循法律，敬畏法律，运用法律手段解决贸易纠纷，培养党规条例规定的“</w:t>
      </w:r>
      <w:r>
        <w:rPr>
          <w:rFonts w:hint="eastAsia" w:asciiTheme="minorHAnsi" w:hAnsiTheme="minorHAnsi" w:eastAsiaTheme="minorEastAsia" w:cstheme="minorHAnsi"/>
          <w:sz w:val="21"/>
          <w:szCs w:val="21"/>
          <w:u w:val="single"/>
          <w:lang w:eastAsia="zh-CN"/>
        </w:rPr>
        <w:t>懂法纪、明规矩、知敬畏、存戒惧</w:t>
      </w:r>
      <w:r>
        <w:rPr>
          <w:rFonts w:hint="eastAsia" w:asciiTheme="minorHAnsi" w:hAnsiTheme="minorHAnsi" w:eastAsiaTheme="minorEastAsia" w:cstheme="minorHAnsi"/>
          <w:sz w:val="21"/>
          <w:szCs w:val="21"/>
          <w:lang w:eastAsia="zh-CN"/>
        </w:rPr>
        <w:t>”的大学生。</w:t>
      </w:r>
    </w:p>
    <w:p>
      <w:pPr>
        <w:ind w:left="940" w:right="318" w:firstLine="470"/>
        <w:rPr>
          <w:rFonts w:asciiTheme="minorHAnsi" w:hAnsiTheme="minorHAnsi" w:eastAsiaTheme="minorEastAsia" w:cstheme="minorHAnsi"/>
          <w:sz w:val="21"/>
          <w:szCs w:val="21"/>
          <w:lang w:eastAsia="zh-CN"/>
        </w:rPr>
      </w:pPr>
    </w:p>
    <w:p>
      <w:pPr>
        <w:ind w:left="940" w:right="318" w:firstLine="470"/>
        <w:rPr>
          <w:rFonts w:asciiTheme="minorHAnsi" w:hAnsiTheme="minorHAnsi" w:eastAsiaTheme="minorEastAsia" w:cstheme="minorHAnsi"/>
          <w:sz w:val="21"/>
          <w:szCs w:val="21"/>
          <w:lang w:eastAsia="zh-CN"/>
        </w:rPr>
      </w:pPr>
    </w:p>
    <w:p>
      <w:pPr>
        <w:spacing w:before="191"/>
        <w:ind w:left="1300"/>
        <w:rPr>
          <w:rFonts w:hint="eastAsia" w:ascii="黑体" w:eastAsia="黑体"/>
          <w:sz w:val="24"/>
          <w:lang w:eastAsia="zh-CN"/>
        </w:rPr>
      </w:pPr>
    </w:p>
    <w:p>
      <w:pPr>
        <w:spacing w:before="191"/>
        <w:ind w:left="1300"/>
        <w:rPr>
          <w:rFonts w:ascii="黑体" w:eastAsia="黑体"/>
          <w:sz w:val="24"/>
          <w:lang w:eastAsia="zh-CN"/>
        </w:rPr>
      </w:pPr>
      <w:r>
        <w:rPr>
          <w:rFonts w:hint="eastAsia" w:ascii="黑体" w:eastAsia="黑体"/>
          <w:sz w:val="24"/>
          <w:lang w:eastAsia="zh-CN"/>
        </w:rPr>
        <w:t>三、选课建议</w:t>
      </w:r>
    </w:p>
    <w:p>
      <w:pPr>
        <w:pStyle w:val="4"/>
        <w:spacing w:before="5"/>
        <w:rPr>
          <w:rFonts w:ascii="黑体"/>
          <w:sz w:val="19"/>
          <w:lang w:eastAsia="zh-CN"/>
        </w:rPr>
      </w:pPr>
    </w:p>
    <w:p>
      <w:pPr>
        <w:pStyle w:val="4"/>
        <w:spacing w:line="350" w:lineRule="auto"/>
        <w:ind w:left="940" w:right="689" w:firstLine="336"/>
        <w:rPr>
          <w:rFonts w:ascii="宋体" w:eastAsia="宋体"/>
          <w:lang w:eastAsia="zh-CN"/>
        </w:rPr>
      </w:pPr>
      <w:r>
        <w:rPr>
          <w:rFonts w:hint="eastAsia" w:ascii="宋体" w:eastAsia="宋体"/>
          <w:lang w:eastAsia="zh-CN"/>
        </w:rPr>
        <w:t>本课程适合国际经济与贸易专业二年级及以上学生，学生应具备一定的国际贸易理论基础。</w:t>
      </w:r>
    </w:p>
    <w:p>
      <w:pPr>
        <w:pStyle w:val="4"/>
        <w:spacing w:before="161"/>
        <w:ind w:left="1275"/>
        <w:rPr>
          <w:sz w:val="24"/>
          <w:szCs w:val="24"/>
        </w:rPr>
      </w:pPr>
      <w:r>
        <w:rPr>
          <w:sz w:val="24"/>
          <w:szCs w:val="24"/>
        </w:rPr>
        <w:t>This course is for the second year student, and should have international theory bases.</w:t>
      </w:r>
    </w:p>
    <w:p>
      <w:pPr>
        <w:pStyle w:val="4"/>
        <w:spacing w:before="11"/>
        <w:rPr>
          <w:rFonts w:ascii="Calibri"/>
          <w:sz w:val="27"/>
        </w:rPr>
      </w:pPr>
      <w:r>
        <w:pict>
          <v:shape id="_x0000_s1028" o:spid="_x0000_s1028" o:spt="100" style="position:absolute;left:0pt;margin-left:118.8pt;margin-top:544.75pt;height:62.4pt;width:12pt;mso-position-horizontal-relative:page;mso-position-vertical-relative:page;z-index:-251657216;mso-width-relative:page;mso-height-relative:page;" fillcolor="#C0C0C0" filled="t" stroked="f" coordorigin="2376,10895" coordsize="240,1248" path="m2616,11831l2376,11831,2376,12142,2616,12142,2616,11831m2616,11519l2376,11519,2376,11830,2616,11830,2616,11519m2616,11207l2376,11207,2376,11518,2616,11518,2616,11207m2616,10895l2376,10895,2376,11206,2616,11206,2616,10895e">
            <v:path arrowok="t" o:connecttype="segments"/>
            <v:fill on="t" focussize="0,0"/>
            <v:stroke on="f" joinstyle="round"/>
            <v:imagedata o:title=""/>
            <o:lock v:ext="edit"/>
          </v:shape>
        </w:pict>
      </w:r>
    </w:p>
    <w:p>
      <w:pPr>
        <w:pStyle w:val="2"/>
        <w:spacing w:before="67"/>
        <w:rPr>
          <w:rFonts w:ascii="黑体" w:eastAsia="黑体"/>
          <w:lang w:eastAsia="zh-CN"/>
        </w:rPr>
      </w:pPr>
      <w:r>
        <w:rPr>
          <w:rFonts w:hint="eastAsia" w:ascii="黑体" w:eastAsia="黑体"/>
          <w:lang w:eastAsia="zh-CN"/>
        </w:rPr>
        <w:t>四、课程与专业毕业要求的关联性</w:t>
      </w:r>
    </w:p>
    <w:p>
      <w:pPr>
        <w:pStyle w:val="4"/>
        <w:rPr>
          <w:rFonts w:ascii="黑体"/>
          <w:lang w:eastAsia="zh-CN"/>
        </w:rPr>
      </w:pPr>
    </w:p>
    <w:p>
      <w:pPr>
        <w:pStyle w:val="4"/>
        <w:rPr>
          <w:rFonts w:ascii="黑体"/>
          <w:lang w:eastAsia="zh-CN"/>
        </w:rPr>
      </w:pPr>
    </w:p>
    <w:p>
      <w:pPr>
        <w:pStyle w:val="4"/>
        <w:rPr>
          <w:rFonts w:ascii="黑体"/>
          <w:sz w:val="16"/>
          <w:lang w:eastAsia="zh-CN"/>
        </w:rPr>
      </w:pPr>
    </w:p>
    <w:tbl>
      <w:tblPr>
        <w:tblStyle w:val="12"/>
        <w:tblW w:w="0" w:type="auto"/>
        <w:tblInd w:w="8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458"/>
        <w:gridCol w:w="412"/>
        <w:gridCol w:w="8"/>
        <w:gridCol w:w="734"/>
        <w:gridCol w:w="1092"/>
        <w:gridCol w:w="3984"/>
        <w:gridCol w:w="84"/>
        <w:gridCol w:w="1043"/>
        <w:gridCol w:w="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6" w:type="dxa"/>
          </w:tcPr>
          <w:p>
            <w:pPr>
              <w:pStyle w:val="14"/>
              <w:spacing w:line="295" w:lineRule="exact"/>
              <w:ind w:left="167"/>
              <w:rPr>
                <w:rFonts w:ascii="Source Han Sans HW" w:eastAsia="Source Han Sans HW"/>
                <w:b/>
                <w:sz w:val="24"/>
              </w:rPr>
            </w:pPr>
            <w:r>
              <w:rPr>
                <w:rFonts w:hint="eastAsia" w:ascii="Source Han Sans HW" w:eastAsia="Source Han Sans HW"/>
                <w:b/>
                <w:sz w:val="24"/>
              </w:rPr>
              <w:t>编</w:t>
            </w:r>
          </w:p>
          <w:p>
            <w:pPr>
              <w:pStyle w:val="14"/>
              <w:spacing w:line="309" w:lineRule="exact"/>
              <w:ind w:left="167"/>
              <w:rPr>
                <w:rFonts w:ascii="Source Han Sans HW" w:eastAsia="Source Han Sans HW"/>
                <w:b/>
                <w:sz w:val="24"/>
              </w:rPr>
            </w:pPr>
            <w:r>
              <w:rPr>
                <w:rFonts w:hint="eastAsia" w:ascii="Source Han Sans HW" w:eastAsia="Source Han Sans HW"/>
                <w:b/>
                <w:sz w:val="24"/>
              </w:rPr>
              <w:t xml:space="preserve">号 </w:t>
            </w:r>
          </w:p>
        </w:tc>
        <w:tc>
          <w:tcPr>
            <w:tcW w:w="458" w:type="dxa"/>
          </w:tcPr>
          <w:p>
            <w:pPr>
              <w:pStyle w:val="14"/>
              <w:spacing w:line="295" w:lineRule="exact"/>
              <w:ind w:left="108"/>
              <w:rPr>
                <w:rFonts w:ascii="Source Han Sans HW" w:eastAsia="Source Han Sans HW"/>
                <w:b/>
                <w:sz w:val="24"/>
              </w:rPr>
            </w:pPr>
            <w:r>
              <w:rPr>
                <w:rFonts w:hint="eastAsia" w:ascii="Source Han Sans HW" w:eastAsia="Source Han Sans HW"/>
                <w:b/>
                <w:sz w:val="24"/>
              </w:rPr>
              <w:t>能</w:t>
            </w:r>
          </w:p>
          <w:p>
            <w:pPr>
              <w:pStyle w:val="14"/>
              <w:spacing w:line="309" w:lineRule="exact"/>
              <w:ind w:left="108" w:right="-29"/>
              <w:rPr>
                <w:rFonts w:ascii="Source Han Sans HW" w:eastAsia="Source Han Sans HW"/>
                <w:b/>
                <w:sz w:val="24"/>
              </w:rPr>
            </w:pPr>
            <w:r>
              <w:rPr>
                <w:rFonts w:hint="eastAsia" w:ascii="Source Han Sans HW" w:eastAsia="Source Han Sans HW"/>
                <w:b/>
                <w:sz w:val="24"/>
              </w:rPr>
              <w:t xml:space="preserve">力 </w:t>
            </w:r>
          </w:p>
        </w:tc>
        <w:tc>
          <w:tcPr>
            <w:tcW w:w="6314" w:type="dxa"/>
            <w:gridSpan w:val="6"/>
          </w:tcPr>
          <w:p>
            <w:pPr>
              <w:pStyle w:val="14"/>
              <w:spacing w:before="52"/>
              <w:ind w:left="2235" w:right="2106"/>
              <w:jc w:val="center"/>
              <w:rPr>
                <w:rFonts w:ascii="Source Han Sans HW" w:eastAsia="Source Han Sans HW"/>
                <w:b/>
                <w:sz w:val="24"/>
              </w:rPr>
            </w:pPr>
            <w:r>
              <w:rPr>
                <w:rFonts w:hint="eastAsia" w:ascii="Source Han Sans HW" w:eastAsia="Source Han Sans HW"/>
                <w:b/>
                <w:sz w:val="24"/>
              </w:rPr>
              <w:t xml:space="preserve">毕业要求和指标点 </w:t>
            </w:r>
          </w:p>
        </w:tc>
        <w:tc>
          <w:tcPr>
            <w:tcW w:w="1127" w:type="dxa"/>
            <w:gridSpan w:val="2"/>
          </w:tcPr>
          <w:p>
            <w:pPr>
              <w:pStyle w:val="14"/>
              <w:spacing w:before="52"/>
              <w:ind w:left="321"/>
              <w:rPr>
                <w:rFonts w:ascii="Source Han Sans HW" w:eastAsia="Source Han Sans HW"/>
                <w:b/>
                <w:sz w:val="24"/>
              </w:rPr>
            </w:pPr>
            <w:r>
              <w:rPr>
                <w:rFonts w:hint="eastAsia" w:ascii="Source Han Sans HW" w:eastAsia="Source Han Sans HW"/>
                <w:b/>
                <w:sz w:val="24"/>
              </w:rPr>
              <w:t xml:space="preserve">关联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76" w:type="dxa"/>
            <w:vMerge w:val="restart"/>
          </w:tcPr>
          <w:p>
            <w:pPr>
              <w:pStyle w:val="14"/>
              <w:rPr>
                <w:rFonts w:ascii="黑体"/>
                <w:sz w:val="24"/>
              </w:rPr>
            </w:pPr>
          </w:p>
          <w:p>
            <w:pPr>
              <w:pStyle w:val="14"/>
              <w:rPr>
                <w:rFonts w:ascii="黑体"/>
                <w:sz w:val="24"/>
              </w:rPr>
            </w:pPr>
          </w:p>
          <w:p>
            <w:pPr>
              <w:pStyle w:val="14"/>
              <w:spacing w:before="3"/>
              <w:rPr>
                <w:rFonts w:ascii="黑体"/>
                <w:sz w:val="17"/>
              </w:rPr>
            </w:pPr>
          </w:p>
          <w:p>
            <w:pPr>
              <w:pStyle w:val="14"/>
              <w:spacing w:before="1"/>
              <w:ind w:left="108"/>
              <w:rPr>
                <w:sz w:val="24"/>
              </w:rPr>
            </w:pPr>
            <w:r>
              <w:rPr>
                <w:sz w:val="24"/>
              </w:rPr>
              <w:t>LO1</w:t>
            </w:r>
          </w:p>
        </w:tc>
        <w:tc>
          <w:tcPr>
            <w:tcW w:w="458" w:type="dxa"/>
            <w:vMerge w:val="restart"/>
          </w:tcPr>
          <w:p>
            <w:pPr>
              <w:pStyle w:val="14"/>
              <w:spacing w:before="9"/>
              <w:rPr>
                <w:rFonts w:ascii="黑体"/>
                <w:sz w:val="28"/>
              </w:rPr>
            </w:pPr>
          </w:p>
          <w:p>
            <w:pPr>
              <w:pStyle w:val="14"/>
              <w:spacing w:before="1"/>
              <w:ind w:left="107" w:right="98"/>
              <w:jc w:val="both"/>
              <w:rPr>
                <w:sz w:val="24"/>
              </w:rPr>
            </w:pPr>
            <w:r>
              <w:rPr>
                <w:sz w:val="24"/>
              </w:rPr>
              <w:t>表达沟通</w:t>
            </w:r>
          </w:p>
        </w:tc>
        <w:tc>
          <w:tcPr>
            <w:tcW w:w="6314" w:type="dxa"/>
            <w:gridSpan w:val="6"/>
          </w:tcPr>
          <w:p>
            <w:pPr>
              <w:pStyle w:val="14"/>
              <w:spacing w:before="51"/>
              <w:ind w:left="108" w:right="63"/>
              <w:rPr>
                <w:sz w:val="24"/>
                <w:lang w:eastAsia="zh-CN"/>
              </w:rPr>
            </w:pPr>
            <w:r>
              <w:rPr>
                <w:sz w:val="24"/>
                <w:lang w:eastAsia="zh-CN"/>
              </w:rPr>
              <w:t>LO11 理解他人的观点，尊重他人的价值观，能在不同场合用书面或口头形式进行有效沟通。</w:t>
            </w:r>
          </w:p>
        </w:tc>
        <w:tc>
          <w:tcPr>
            <w:tcW w:w="1127" w:type="dxa"/>
            <w:gridSpan w:val="2"/>
          </w:tcPr>
          <w:p>
            <w:pPr>
              <w:pStyle w:val="14"/>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sz w:val="2"/>
                <w:szCs w:val="2"/>
                <w:lang w:eastAsia="zh-CN"/>
              </w:rPr>
            </w:pPr>
          </w:p>
        </w:tc>
        <w:tc>
          <w:tcPr>
            <w:tcW w:w="412" w:type="dxa"/>
            <w:vMerge w:val="restart"/>
          </w:tcPr>
          <w:p>
            <w:pPr>
              <w:pStyle w:val="14"/>
              <w:spacing w:before="167"/>
              <w:ind w:left="108" w:right="111"/>
              <w:jc w:val="both"/>
              <w:rPr>
                <w:rFonts w:ascii="微软雅黑" w:eastAsia="微软雅黑"/>
                <w:b/>
                <w:sz w:val="18"/>
              </w:rPr>
            </w:pPr>
            <w:r>
              <w:rPr>
                <w:rFonts w:hint="eastAsia" w:ascii="微软雅黑" w:eastAsia="微软雅黑"/>
                <w:b/>
                <w:sz w:val="18"/>
              </w:rPr>
              <w:t>指标点</w:t>
            </w:r>
          </w:p>
        </w:tc>
        <w:tc>
          <w:tcPr>
            <w:tcW w:w="742" w:type="dxa"/>
            <w:gridSpan w:val="2"/>
            <w:tcBorders>
              <w:bottom w:val="nil"/>
              <w:right w:val="single" w:color="FFFFFF" w:sz="24" w:space="0"/>
            </w:tcBorders>
          </w:tcPr>
          <w:p>
            <w:pPr>
              <w:pStyle w:val="14"/>
              <w:ind w:left="107" w:right="-15"/>
              <w:rPr>
                <w:sz w:val="24"/>
                <w:lang w:eastAsia="zh-CN"/>
              </w:rPr>
            </w:pPr>
            <w:r>
              <w:rPr>
                <w:sz w:val="24"/>
                <w:lang w:eastAsia="zh-CN"/>
              </w:rPr>
              <w:t>LO111</w:t>
            </w:r>
          </w:p>
          <w:p>
            <w:pPr>
              <w:pStyle w:val="14"/>
              <w:ind w:left="107"/>
              <w:rPr>
                <w:sz w:val="24"/>
                <w:lang w:eastAsia="zh-CN"/>
              </w:rPr>
            </w:pPr>
            <w:r>
              <w:rPr>
                <w:rFonts w:hint="eastAsia"/>
                <w:sz w:val="24"/>
                <w:lang w:eastAsia="zh-CN"/>
              </w:rPr>
              <w:t>求。</w:t>
            </w:r>
          </w:p>
          <w:p>
            <w:pPr>
              <w:pStyle w:val="14"/>
              <w:ind w:left="107" w:right="-15"/>
              <w:rPr>
                <w:sz w:val="24"/>
                <w:lang w:eastAsia="zh-CN"/>
              </w:rPr>
            </w:pPr>
            <w:r>
              <w:rPr>
                <w:sz w:val="24"/>
                <w:lang w:eastAsia="zh-CN"/>
              </w:rPr>
              <w:t>LO112</w:t>
            </w:r>
          </w:p>
        </w:tc>
        <w:tc>
          <w:tcPr>
            <w:tcW w:w="5160" w:type="dxa"/>
            <w:gridSpan w:val="3"/>
            <w:tcBorders>
              <w:left w:val="single" w:color="FFFFFF" w:sz="24" w:space="0"/>
              <w:bottom w:val="nil"/>
            </w:tcBorders>
          </w:tcPr>
          <w:p>
            <w:pPr>
              <w:pStyle w:val="14"/>
              <w:ind w:left="107" w:right="-15"/>
              <w:rPr>
                <w:sz w:val="24"/>
                <w:lang w:eastAsia="zh-CN"/>
              </w:rPr>
            </w:pPr>
            <w:r>
              <w:rPr>
                <w:rFonts w:hint="eastAsia"/>
                <w:sz w:val="24"/>
                <w:lang w:eastAsia="zh-CN"/>
              </w:rPr>
              <w:t>倾听他人意见、尊重他人观点、分析他人需</w:t>
            </w:r>
          </w:p>
          <w:p>
            <w:pPr>
              <w:pStyle w:val="14"/>
              <w:ind w:left="107" w:right="-15"/>
              <w:rPr>
                <w:rFonts w:ascii="Source Han Sans HW" w:eastAsia="Source Han Sans HW"/>
                <w:b/>
                <w:sz w:val="24"/>
                <w:lang w:eastAsia="zh-CN"/>
              </w:rPr>
            </w:pPr>
            <w:r>
              <w:rPr>
                <w:rFonts w:hint="eastAsia"/>
                <w:sz w:val="24"/>
                <w:lang w:eastAsia="zh-CN"/>
              </w:rPr>
              <w:t>应用书面或口头形式，阐释自己的观点，有效</w:t>
            </w:r>
          </w:p>
        </w:tc>
        <w:tc>
          <w:tcPr>
            <w:tcW w:w="1127" w:type="dxa"/>
            <w:gridSpan w:val="2"/>
            <w:vMerge w:val="restart"/>
          </w:tcPr>
          <w:p>
            <w:pPr>
              <w:pStyle w:val="14"/>
              <w:numPr>
                <w:ilvl w:val="0"/>
                <w:numId w:val="2"/>
              </w:numPr>
              <w:jc w:val="center"/>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sz w:val="2"/>
                <w:szCs w:val="2"/>
                <w:lang w:eastAsia="zh-CN"/>
              </w:rPr>
            </w:pPr>
          </w:p>
        </w:tc>
        <w:tc>
          <w:tcPr>
            <w:tcW w:w="412" w:type="dxa"/>
            <w:vMerge w:val="continue"/>
            <w:tcBorders>
              <w:top w:val="nil"/>
            </w:tcBorders>
          </w:tcPr>
          <w:p>
            <w:pPr>
              <w:rPr>
                <w:sz w:val="2"/>
                <w:szCs w:val="2"/>
                <w:lang w:eastAsia="zh-CN"/>
              </w:rPr>
            </w:pPr>
          </w:p>
        </w:tc>
        <w:tc>
          <w:tcPr>
            <w:tcW w:w="5902" w:type="dxa"/>
            <w:gridSpan w:val="5"/>
            <w:tcBorders>
              <w:top w:val="nil"/>
            </w:tcBorders>
          </w:tcPr>
          <w:p>
            <w:pPr>
              <w:pStyle w:val="14"/>
              <w:ind w:left="107" w:right="-15"/>
              <w:rPr>
                <w:sz w:val="24"/>
                <w:lang w:eastAsia="zh-CN"/>
              </w:rPr>
            </w:pPr>
            <w:r>
              <w:rPr>
                <w:rFonts w:hint="eastAsia"/>
                <w:sz w:val="24"/>
                <w:lang w:eastAsia="zh-CN"/>
              </w:rPr>
              <w:t>沟通。</w:t>
            </w:r>
          </w:p>
        </w:tc>
        <w:tc>
          <w:tcPr>
            <w:tcW w:w="1127" w:type="dxa"/>
            <w:gridSpan w:val="2"/>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76" w:type="dxa"/>
            <w:vMerge w:val="restart"/>
          </w:tcPr>
          <w:p>
            <w:pPr>
              <w:pStyle w:val="14"/>
              <w:rPr>
                <w:rFonts w:ascii="黑体"/>
                <w:sz w:val="24"/>
                <w:lang w:eastAsia="zh-CN"/>
              </w:rPr>
            </w:pPr>
          </w:p>
          <w:p>
            <w:pPr>
              <w:pStyle w:val="14"/>
              <w:rPr>
                <w:rFonts w:ascii="黑体"/>
                <w:sz w:val="24"/>
                <w:lang w:eastAsia="zh-CN"/>
              </w:rPr>
            </w:pPr>
          </w:p>
          <w:p>
            <w:pPr>
              <w:pStyle w:val="14"/>
              <w:rPr>
                <w:rFonts w:ascii="黑体"/>
                <w:sz w:val="24"/>
                <w:lang w:eastAsia="zh-CN"/>
              </w:rPr>
            </w:pPr>
          </w:p>
          <w:p>
            <w:pPr>
              <w:pStyle w:val="14"/>
              <w:spacing w:before="178"/>
              <w:ind w:left="108"/>
              <w:rPr>
                <w:sz w:val="24"/>
              </w:rPr>
            </w:pPr>
            <w:r>
              <w:rPr>
                <w:sz w:val="24"/>
              </w:rPr>
              <w:t>LO2</w:t>
            </w:r>
          </w:p>
        </w:tc>
        <w:tc>
          <w:tcPr>
            <w:tcW w:w="458" w:type="dxa"/>
            <w:vMerge w:val="restart"/>
          </w:tcPr>
          <w:p>
            <w:pPr>
              <w:pStyle w:val="14"/>
              <w:rPr>
                <w:rFonts w:ascii="黑体"/>
                <w:sz w:val="24"/>
              </w:rPr>
            </w:pPr>
          </w:p>
          <w:p>
            <w:pPr>
              <w:pStyle w:val="14"/>
              <w:spacing w:before="5"/>
              <w:rPr>
                <w:rFonts w:ascii="黑体"/>
                <w:sz w:val="25"/>
              </w:rPr>
            </w:pPr>
          </w:p>
          <w:p>
            <w:pPr>
              <w:pStyle w:val="14"/>
              <w:ind w:left="107" w:right="98"/>
              <w:jc w:val="both"/>
              <w:rPr>
                <w:sz w:val="24"/>
              </w:rPr>
            </w:pPr>
            <w:r>
              <w:rPr>
                <w:sz w:val="24"/>
              </w:rPr>
              <w:t>自主学习</w:t>
            </w:r>
          </w:p>
        </w:tc>
        <w:tc>
          <w:tcPr>
            <w:tcW w:w="6314" w:type="dxa"/>
            <w:gridSpan w:val="6"/>
          </w:tcPr>
          <w:p>
            <w:pPr>
              <w:pStyle w:val="14"/>
              <w:spacing w:before="4"/>
              <w:ind w:left="108"/>
              <w:rPr>
                <w:sz w:val="24"/>
                <w:lang w:eastAsia="zh-CN"/>
              </w:rPr>
            </w:pPr>
            <w:r>
              <w:rPr>
                <w:sz w:val="24"/>
                <w:lang w:eastAsia="zh-CN"/>
              </w:rPr>
              <w:t>LO21 学生能根据环境需要确定自己的学习目标，并主动地</w:t>
            </w:r>
          </w:p>
          <w:p>
            <w:pPr>
              <w:pStyle w:val="14"/>
              <w:spacing w:before="2"/>
              <w:ind w:left="108" w:right="193"/>
              <w:rPr>
                <w:sz w:val="24"/>
                <w:lang w:eastAsia="zh-CN"/>
              </w:rPr>
            </w:pPr>
            <w:r>
              <w:rPr>
                <w:sz w:val="24"/>
                <w:lang w:eastAsia="zh-CN"/>
              </w:rPr>
              <w:t>通过搜集信息、分析信息、讨论、实践、质疑、创造等方法来实现学习目标。</w:t>
            </w:r>
          </w:p>
        </w:tc>
        <w:tc>
          <w:tcPr>
            <w:tcW w:w="1127" w:type="dxa"/>
            <w:gridSpan w:val="2"/>
          </w:tcPr>
          <w:p>
            <w:pPr>
              <w:pStyle w:val="14"/>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sz w:val="2"/>
                <w:szCs w:val="2"/>
                <w:lang w:eastAsia="zh-CN"/>
              </w:rPr>
            </w:pPr>
          </w:p>
        </w:tc>
        <w:tc>
          <w:tcPr>
            <w:tcW w:w="412" w:type="dxa"/>
            <w:vMerge w:val="restart"/>
          </w:tcPr>
          <w:p>
            <w:pPr>
              <w:pStyle w:val="14"/>
              <w:spacing w:before="2"/>
              <w:rPr>
                <w:rFonts w:ascii="黑体"/>
                <w:sz w:val="25"/>
                <w:lang w:eastAsia="zh-CN"/>
              </w:rPr>
            </w:pPr>
          </w:p>
          <w:p>
            <w:pPr>
              <w:pStyle w:val="14"/>
              <w:spacing w:before="1"/>
              <w:ind w:left="108" w:right="111"/>
              <w:jc w:val="both"/>
              <w:rPr>
                <w:rFonts w:ascii="微软雅黑" w:eastAsia="微软雅黑"/>
                <w:b/>
                <w:sz w:val="18"/>
              </w:rPr>
            </w:pPr>
            <w:r>
              <w:rPr>
                <w:rFonts w:hint="eastAsia" w:ascii="微软雅黑" w:eastAsia="微软雅黑"/>
                <w:b/>
                <w:sz w:val="18"/>
              </w:rPr>
              <w:t>指标点</w:t>
            </w:r>
          </w:p>
        </w:tc>
        <w:tc>
          <w:tcPr>
            <w:tcW w:w="742" w:type="dxa"/>
            <w:gridSpan w:val="2"/>
            <w:tcBorders>
              <w:bottom w:val="nil"/>
              <w:right w:val="single" w:color="FFFFFF" w:sz="24" w:space="0"/>
            </w:tcBorders>
          </w:tcPr>
          <w:p>
            <w:pPr>
              <w:pStyle w:val="14"/>
              <w:ind w:left="107" w:right="-15"/>
              <w:rPr>
                <w:sz w:val="24"/>
                <w:lang w:eastAsia="zh-CN"/>
              </w:rPr>
            </w:pPr>
            <w:r>
              <w:rPr>
                <w:sz w:val="24"/>
                <w:lang w:eastAsia="zh-CN"/>
              </w:rPr>
              <w:t>LO211</w:t>
            </w:r>
          </w:p>
          <w:p>
            <w:pPr>
              <w:pStyle w:val="14"/>
              <w:ind w:left="107"/>
              <w:rPr>
                <w:sz w:val="24"/>
                <w:lang w:eastAsia="zh-CN"/>
              </w:rPr>
            </w:pPr>
            <w:r>
              <w:rPr>
                <w:rFonts w:hint="eastAsia"/>
                <w:sz w:val="24"/>
                <w:lang w:eastAsia="zh-CN"/>
              </w:rPr>
              <w:t>划。</w:t>
            </w:r>
          </w:p>
          <w:p>
            <w:pPr>
              <w:pStyle w:val="14"/>
              <w:ind w:left="107" w:right="-15"/>
              <w:rPr>
                <w:sz w:val="24"/>
                <w:lang w:eastAsia="zh-CN"/>
              </w:rPr>
            </w:pPr>
            <w:r>
              <w:rPr>
                <w:sz w:val="24"/>
                <w:lang w:eastAsia="zh-CN"/>
              </w:rPr>
              <w:t>L0212</w:t>
            </w:r>
          </w:p>
        </w:tc>
        <w:tc>
          <w:tcPr>
            <w:tcW w:w="5160" w:type="dxa"/>
            <w:gridSpan w:val="3"/>
            <w:tcBorders>
              <w:left w:val="single" w:color="FFFFFF" w:sz="24" w:space="0"/>
              <w:bottom w:val="nil"/>
            </w:tcBorders>
          </w:tcPr>
          <w:p>
            <w:pPr>
              <w:pStyle w:val="14"/>
              <w:ind w:left="5"/>
              <w:rPr>
                <w:sz w:val="24"/>
                <w:lang w:eastAsia="zh-CN"/>
              </w:rPr>
            </w:pPr>
            <w:r>
              <w:rPr>
                <w:rFonts w:hint="eastAsia"/>
                <w:sz w:val="24"/>
                <w:lang w:eastAsia="zh-CN"/>
              </w:rPr>
              <w:t>能根据需要自己确定学习目标，并设计学习计</w:t>
            </w:r>
          </w:p>
          <w:p>
            <w:pPr>
              <w:pStyle w:val="14"/>
              <w:spacing w:before="138"/>
              <w:ind w:left="5"/>
              <w:rPr>
                <w:sz w:val="24"/>
                <w:lang w:eastAsia="zh-CN"/>
              </w:rPr>
            </w:pPr>
            <w:r>
              <w:rPr>
                <w:rFonts w:hint="eastAsia"/>
                <w:sz w:val="24"/>
                <w:lang w:eastAsia="zh-CN"/>
              </w:rPr>
              <w:t>能搜集、获取达到目标所需要的学习资源，实</w:t>
            </w:r>
          </w:p>
        </w:tc>
        <w:tc>
          <w:tcPr>
            <w:tcW w:w="1127" w:type="dxa"/>
            <w:gridSpan w:val="2"/>
            <w:vMerge w:val="restart"/>
          </w:tcPr>
          <w:p>
            <w:pPr>
              <w:pStyle w:val="14"/>
              <w:numPr>
                <w:ilvl w:val="0"/>
                <w:numId w:val="2"/>
              </w:numPr>
              <w:spacing w:before="45"/>
              <w:jc w:val="center"/>
              <w:rPr>
                <w:rFonts w:ascii="Wingdings" w:hAnsi="Wingdings"/>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sz w:val="2"/>
                <w:szCs w:val="2"/>
                <w:lang w:eastAsia="zh-CN"/>
              </w:rPr>
            </w:pPr>
          </w:p>
        </w:tc>
        <w:tc>
          <w:tcPr>
            <w:tcW w:w="412" w:type="dxa"/>
            <w:vMerge w:val="continue"/>
            <w:tcBorders>
              <w:top w:val="nil"/>
            </w:tcBorders>
          </w:tcPr>
          <w:p>
            <w:pPr>
              <w:rPr>
                <w:sz w:val="2"/>
                <w:szCs w:val="2"/>
                <w:lang w:eastAsia="zh-CN"/>
              </w:rPr>
            </w:pPr>
          </w:p>
        </w:tc>
        <w:tc>
          <w:tcPr>
            <w:tcW w:w="5902" w:type="dxa"/>
            <w:gridSpan w:val="5"/>
            <w:tcBorders>
              <w:top w:val="nil"/>
            </w:tcBorders>
          </w:tcPr>
          <w:p>
            <w:pPr>
              <w:pStyle w:val="14"/>
              <w:ind w:left="107" w:right="-15"/>
              <w:rPr>
                <w:sz w:val="24"/>
                <w:lang w:eastAsia="zh-CN"/>
              </w:rPr>
            </w:pPr>
            <w:r>
              <w:rPr>
                <w:rFonts w:hint="eastAsia"/>
                <w:sz w:val="24"/>
                <w:lang w:eastAsia="zh-CN"/>
              </w:rPr>
              <w:t>施学习计划、反思学习计划、持续改进，达到学习目</w:t>
            </w:r>
          </w:p>
          <w:p>
            <w:pPr>
              <w:pStyle w:val="14"/>
              <w:ind w:left="107" w:right="-15"/>
              <w:rPr>
                <w:sz w:val="24"/>
                <w:lang w:eastAsia="zh-CN"/>
              </w:rPr>
            </w:pPr>
            <w:r>
              <w:rPr>
                <w:rFonts w:hint="eastAsia"/>
                <w:sz w:val="24"/>
                <w:lang w:eastAsia="zh-CN"/>
              </w:rPr>
              <w:t>标。</w:t>
            </w:r>
          </w:p>
        </w:tc>
        <w:tc>
          <w:tcPr>
            <w:tcW w:w="112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76" w:type="dxa"/>
            <w:vMerge w:val="restart"/>
          </w:tcPr>
          <w:p>
            <w:pPr>
              <w:pStyle w:val="14"/>
              <w:rPr>
                <w:rFonts w:ascii="黑体"/>
                <w:sz w:val="24"/>
              </w:rPr>
            </w:pPr>
          </w:p>
          <w:p>
            <w:pPr>
              <w:pStyle w:val="14"/>
              <w:rPr>
                <w:rFonts w:ascii="黑体"/>
                <w:sz w:val="24"/>
              </w:rPr>
            </w:pPr>
          </w:p>
          <w:p>
            <w:pPr>
              <w:pStyle w:val="14"/>
              <w:rPr>
                <w:rFonts w:ascii="黑体"/>
                <w:sz w:val="24"/>
              </w:rPr>
            </w:pPr>
          </w:p>
          <w:p>
            <w:pPr>
              <w:pStyle w:val="14"/>
              <w:rPr>
                <w:rFonts w:ascii="黑体"/>
                <w:sz w:val="24"/>
              </w:rPr>
            </w:pPr>
          </w:p>
          <w:p>
            <w:pPr>
              <w:pStyle w:val="14"/>
              <w:rPr>
                <w:rFonts w:ascii="黑体"/>
                <w:sz w:val="24"/>
              </w:rPr>
            </w:pPr>
          </w:p>
          <w:p>
            <w:pPr>
              <w:pStyle w:val="14"/>
              <w:rPr>
                <w:rFonts w:ascii="黑体"/>
                <w:sz w:val="24"/>
              </w:rPr>
            </w:pPr>
          </w:p>
          <w:p>
            <w:pPr>
              <w:pStyle w:val="14"/>
              <w:rPr>
                <w:rFonts w:ascii="黑体"/>
                <w:sz w:val="24"/>
              </w:rPr>
            </w:pPr>
          </w:p>
          <w:p>
            <w:pPr>
              <w:pStyle w:val="14"/>
              <w:rPr>
                <w:rFonts w:ascii="黑体"/>
                <w:sz w:val="24"/>
              </w:rPr>
            </w:pPr>
          </w:p>
          <w:p>
            <w:pPr>
              <w:pStyle w:val="14"/>
              <w:rPr>
                <w:rFonts w:ascii="黑体"/>
                <w:sz w:val="24"/>
              </w:rPr>
            </w:pPr>
          </w:p>
          <w:p>
            <w:pPr>
              <w:pStyle w:val="14"/>
              <w:spacing w:before="10"/>
              <w:rPr>
                <w:rFonts w:ascii="黑体"/>
                <w:sz w:val="32"/>
              </w:rPr>
            </w:pPr>
          </w:p>
          <w:p>
            <w:pPr>
              <w:pStyle w:val="14"/>
              <w:ind w:left="108"/>
              <w:rPr>
                <w:sz w:val="24"/>
              </w:rPr>
            </w:pPr>
            <w:r>
              <w:rPr>
                <w:sz w:val="24"/>
                <w:shd w:val="clear" w:color="auto" w:fill="FFFFFF" w:themeFill="background1"/>
              </w:rPr>
              <w:t>LO3</w:t>
            </w:r>
          </w:p>
        </w:tc>
        <w:tc>
          <w:tcPr>
            <w:tcW w:w="458" w:type="dxa"/>
            <w:vMerge w:val="restart"/>
          </w:tcPr>
          <w:p>
            <w:pPr>
              <w:pStyle w:val="14"/>
              <w:rPr>
                <w:rFonts w:ascii="黑体"/>
                <w:sz w:val="24"/>
              </w:rPr>
            </w:pPr>
          </w:p>
          <w:p>
            <w:pPr>
              <w:pStyle w:val="14"/>
              <w:rPr>
                <w:rFonts w:ascii="黑体"/>
                <w:sz w:val="24"/>
              </w:rPr>
            </w:pPr>
          </w:p>
          <w:p>
            <w:pPr>
              <w:pStyle w:val="14"/>
              <w:rPr>
                <w:rFonts w:ascii="黑体"/>
                <w:sz w:val="24"/>
              </w:rPr>
            </w:pPr>
          </w:p>
          <w:p>
            <w:pPr>
              <w:pStyle w:val="14"/>
              <w:rPr>
                <w:rFonts w:ascii="黑体"/>
                <w:sz w:val="24"/>
              </w:rPr>
            </w:pPr>
          </w:p>
          <w:p>
            <w:pPr>
              <w:pStyle w:val="14"/>
              <w:rPr>
                <w:rFonts w:ascii="黑体"/>
                <w:sz w:val="24"/>
              </w:rPr>
            </w:pPr>
          </w:p>
          <w:p>
            <w:pPr>
              <w:pStyle w:val="14"/>
              <w:rPr>
                <w:rFonts w:ascii="黑体"/>
                <w:sz w:val="24"/>
              </w:rPr>
            </w:pPr>
          </w:p>
          <w:p>
            <w:pPr>
              <w:pStyle w:val="14"/>
              <w:rPr>
                <w:rFonts w:ascii="黑体"/>
                <w:sz w:val="24"/>
              </w:rPr>
            </w:pPr>
          </w:p>
          <w:p>
            <w:pPr>
              <w:pStyle w:val="14"/>
              <w:shd w:val="clear" w:color="auto" w:fill="FFFFFF" w:themeFill="background1"/>
              <w:rPr>
                <w:rFonts w:ascii="黑体"/>
                <w:sz w:val="24"/>
              </w:rPr>
            </w:pPr>
          </w:p>
          <w:p>
            <w:pPr>
              <w:pStyle w:val="14"/>
              <w:shd w:val="clear" w:color="auto" w:fill="FFFFFF" w:themeFill="background1"/>
              <w:spacing w:before="3"/>
              <w:rPr>
                <w:rFonts w:ascii="黑体"/>
                <w:sz w:val="20"/>
              </w:rPr>
            </w:pPr>
          </w:p>
          <w:p>
            <w:pPr>
              <w:pStyle w:val="14"/>
              <w:shd w:val="clear" w:color="auto" w:fill="FFFFFF" w:themeFill="background1"/>
              <w:spacing w:before="1"/>
              <w:ind w:left="107" w:right="98"/>
              <w:jc w:val="both"/>
              <w:rPr>
                <w:sz w:val="24"/>
              </w:rPr>
            </w:pPr>
            <w:r>
              <w:rPr>
                <w:sz w:val="24"/>
              </w:rPr>
              <w:t>专业能力</w:t>
            </w:r>
          </w:p>
        </w:tc>
        <w:tc>
          <w:tcPr>
            <w:tcW w:w="6314" w:type="dxa"/>
            <w:gridSpan w:val="6"/>
          </w:tcPr>
          <w:p>
            <w:pPr>
              <w:pStyle w:val="14"/>
              <w:spacing w:before="51"/>
              <w:ind w:left="108" w:right="63"/>
              <w:rPr>
                <w:sz w:val="24"/>
                <w:lang w:eastAsia="zh-CN"/>
              </w:rPr>
            </w:pPr>
            <w:r>
              <w:rPr>
                <w:sz w:val="24"/>
                <w:lang w:eastAsia="zh-CN"/>
              </w:rPr>
              <w:t>LO31 掌握扎实的英语语言基础知识，培养扎实的语言基本功和听、说、读、写、译等语言应用能力。</w:t>
            </w:r>
          </w:p>
        </w:tc>
        <w:tc>
          <w:tcPr>
            <w:tcW w:w="1127" w:type="dxa"/>
            <w:gridSpan w:val="2"/>
          </w:tcPr>
          <w:p>
            <w:pPr>
              <w:pStyle w:val="14"/>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sz w:val="2"/>
                <w:szCs w:val="2"/>
                <w:lang w:eastAsia="zh-CN"/>
              </w:rPr>
            </w:pPr>
          </w:p>
        </w:tc>
        <w:tc>
          <w:tcPr>
            <w:tcW w:w="412" w:type="dxa"/>
          </w:tcPr>
          <w:p>
            <w:pPr>
              <w:pStyle w:val="14"/>
              <w:spacing w:before="2"/>
              <w:rPr>
                <w:rFonts w:ascii="黑体"/>
                <w:sz w:val="25"/>
                <w:lang w:eastAsia="zh-CN"/>
              </w:rPr>
            </w:pPr>
          </w:p>
          <w:p>
            <w:pPr>
              <w:pStyle w:val="14"/>
              <w:spacing w:before="1"/>
              <w:ind w:left="108" w:right="111"/>
              <w:jc w:val="both"/>
              <w:rPr>
                <w:rFonts w:ascii="微软雅黑" w:eastAsia="微软雅黑"/>
                <w:b/>
                <w:sz w:val="18"/>
              </w:rPr>
            </w:pPr>
            <w:r>
              <w:rPr>
                <w:rFonts w:hint="eastAsia" w:ascii="微软雅黑" w:eastAsia="微软雅黑"/>
                <w:b/>
                <w:sz w:val="18"/>
              </w:rPr>
              <w:t>指标点</w:t>
            </w:r>
          </w:p>
        </w:tc>
        <w:tc>
          <w:tcPr>
            <w:tcW w:w="5902" w:type="dxa"/>
            <w:gridSpan w:val="5"/>
          </w:tcPr>
          <w:p>
            <w:pPr>
              <w:pStyle w:val="14"/>
              <w:spacing w:before="4"/>
              <w:ind w:left="107" w:right="259"/>
              <w:rPr>
                <w:sz w:val="24"/>
                <w:lang w:eastAsia="zh-CN"/>
              </w:rPr>
            </w:pPr>
            <w:r>
              <w:rPr>
                <w:sz w:val="24"/>
                <w:lang w:eastAsia="zh-CN"/>
              </w:rPr>
              <w:t>L0311 理解并掌握英语语音、语法、词汇基本知识L0312 掌握阅读方法，具备准确理解文章主旨、快速获取信息的能力。</w:t>
            </w:r>
          </w:p>
          <w:p>
            <w:pPr>
              <w:pStyle w:val="14"/>
              <w:spacing w:before="4"/>
              <w:ind w:left="107"/>
              <w:rPr>
                <w:sz w:val="24"/>
                <w:lang w:eastAsia="zh-CN"/>
              </w:rPr>
            </w:pPr>
            <w:r>
              <w:rPr>
                <w:sz w:val="24"/>
                <w:lang w:eastAsia="zh-CN"/>
              </w:rPr>
              <w:t>L0313 掌握语言学知识，熟练运用英语语言基本技能</w:t>
            </w:r>
          </w:p>
          <w:p>
            <w:pPr>
              <w:pStyle w:val="14"/>
              <w:spacing w:before="5"/>
              <w:ind w:left="107"/>
              <w:rPr>
                <w:sz w:val="24"/>
                <w:lang w:eastAsia="zh-CN"/>
              </w:rPr>
            </w:pPr>
            <w:r>
              <w:rPr>
                <w:sz w:val="24"/>
                <w:lang w:eastAsia="zh-CN"/>
              </w:rPr>
              <w:t>进行口语、写作表达。</w:t>
            </w:r>
          </w:p>
        </w:tc>
        <w:tc>
          <w:tcPr>
            <w:tcW w:w="1127" w:type="dxa"/>
            <w:gridSpan w:val="2"/>
          </w:tcPr>
          <w:p>
            <w:pPr>
              <w:pStyle w:val="14"/>
              <w:ind w:left="420"/>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sz w:val="2"/>
                <w:szCs w:val="2"/>
                <w:lang w:eastAsia="zh-CN"/>
              </w:rPr>
            </w:pPr>
          </w:p>
        </w:tc>
        <w:tc>
          <w:tcPr>
            <w:tcW w:w="6314" w:type="dxa"/>
            <w:gridSpan w:val="6"/>
          </w:tcPr>
          <w:p>
            <w:pPr>
              <w:pStyle w:val="14"/>
              <w:spacing w:before="51"/>
              <w:ind w:left="108" w:right="63"/>
              <w:rPr>
                <w:sz w:val="24"/>
                <w:lang w:eastAsia="zh-CN"/>
              </w:rPr>
            </w:pPr>
            <w:r>
              <w:rPr>
                <w:sz w:val="24"/>
                <w:lang w:eastAsia="zh-CN"/>
              </w:rPr>
              <w:t>LO32 掌握英语语言学、文学等相关知识，具备文学欣赏与文本分析能力。</w:t>
            </w:r>
          </w:p>
        </w:tc>
        <w:tc>
          <w:tcPr>
            <w:tcW w:w="1127" w:type="dxa"/>
            <w:gridSpan w:val="2"/>
          </w:tcPr>
          <w:p>
            <w:pPr>
              <w:pStyle w:val="14"/>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sz w:val="2"/>
                <w:szCs w:val="2"/>
                <w:lang w:eastAsia="zh-CN"/>
              </w:rPr>
            </w:pPr>
          </w:p>
        </w:tc>
        <w:tc>
          <w:tcPr>
            <w:tcW w:w="412" w:type="dxa"/>
          </w:tcPr>
          <w:p>
            <w:pPr>
              <w:pStyle w:val="14"/>
              <w:spacing w:before="167"/>
              <w:ind w:left="108" w:right="111"/>
              <w:jc w:val="both"/>
              <w:rPr>
                <w:rFonts w:ascii="微软雅黑" w:eastAsia="微软雅黑"/>
                <w:b/>
                <w:sz w:val="18"/>
              </w:rPr>
            </w:pPr>
            <w:r>
              <w:rPr>
                <w:rFonts w:hint="eastAsia" w:ascii="微软雅黑" w:eastAsia="微软雅黑"/>
                <w:b/>
                <w:sz w:val="18"/>
              </w:rPr>
              <w:t>指标点</w:t>
            </w:r>
          </w:p>
        </w:tc>
        <w:tc>
          <w:tcPr>
            <w:tcW w:w="5902" w:type="dxa"/>
            <w:gridSpan w:val="5"/>
          </w:tcPr>
          <w:p>
            <w:pPr>
              <w:pStyle w:val="14"/>
              <w:spacing w:before="4"/>
              <w:ind w:left="107" w:right="374"/>
              <w:rPr>
                <w:sz w:val="24"/>
                <w:lang w:eastAsia="zh-CN"/>
              </w:rPr>
            </w:pPr>
            <w:r>
              <w:rPr>
                <w:sz w:val="24"/>
                <w:lang w:eastAsia="zh-CN"/>
              </w:rPr>
              <w:t>L032 了解英美文学发展史，掌握主要文学流派的特点。</w:t>
            </w:r>
          </w:p>
          <w:p>
            <w:pPr>
              <w:pStyle w:val="14"/>
              <w:spacing w:before="3"/>
              <w:ind w:left="107"/>
              <w:rPr>
                <w:sz w:val="24"/>
                <w:lang w:eastAsia="zh-CN"/>
              </w:rPr>
            </w:pPr>
            <w:r>
              <w:rPr>
                <w:sz w:val="24"/>
                <w:lang w:eastAsia="zh-CN"/>
              </w:rPr>
              <w:t>L032 阅读部分英美文学作品，学会鉴赏文学作品的方</w:t>
            </w:r>
          </w:p>
          <w:p>
            <w:pPr>
              <w:pStyle w:val="14"/>
              <w:spacing w:before="4"/>
              <w:ind w:left="107"/>
              <w:rPr>
                <w:sz w:val="24"/>
              </w:rPr>
            </w:pPr>
            <w:r>
              <w:rPr>
                <w:sz w:val="24"/>
              </w:rPr>
              <w:t>法。</w:t>
            </w:r>
          </w:p>
        </w:tc>
        <w:tc>
          <w:tcPr>
            <w:tcW w:w="1127" w:type="dxa"/>
            <w:gridSpan w:val="2"/>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76" w:type="dxa"/>
            <w:vMerge w:val="continue"/>
            <w:tcBorders>
              <w:top w:val="nil"/>
            </w:tcBorders>
          </w:tcPr>
          <w:p>
            <w:pPr>
              <w:rPr>
                <w:sz w:val="2"/>
                <w:szCs w:val="2"/>
              </w:rPr>
            </w:pPr>
          </w:p>
        </w:tc>
        <w:tc>
          <w:tcPr>
            <w:tcW w:w="458" w:type="dxa"/>
            <w:vMerge w:val="continue"/>
            <w:tcBorders>
              <w:top w:val="nil"/>
            </w:tcBorders>
          </w:tcPr>
          <w:p>
            <w:pPr>
              <w:rPr>
                <w:sz w:val="2"/>
                <w:szCs w:val="2"/>
              </w:rPr>
            </w:pPr>
          </w:p>
        </w:tc>
        <w:tc>
          <w:tcPr>
            <w:tcW w:w="6314" w:type="dxa"/>
            <w:gridSpan w:val="6"/>
          </w:tcPr>
          <w:p>
            <w:pPr>
              <w:pStyle w:val="14"/>
              <w:spacing w:before="51"/>
              <w:ind w:left="108" w:right="63"/>
              <w:rPr>
                <w:sz w:val="24"/>
                <w:lang w:eastAsia="zh-CN"/>
              </w:rPr>
            </w:pPr>
            <w:r>
              <w:rPr>
                <w:sz w:val="24"/>
                <w:lang w:eastAsia="zh-CN"/>
              </w:rPr>
              <w:t>LO33 了解中西文化差异和跨文化的理论知识，具备较强的跨文化沟通能力。</w:t>
            </w:r>
          </w:p>
        </w:tc>
        <w:tc>
          <w:tcPr>
            <w:tcW w:w="1127" w:type="dxa"/>
            <w:gridSpan w:val="2"/>
          </w:tcPr>
          <w:p>
            <w:pPr>
              <w:pStyle w:val="14"/>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sz w:val="2"/>
                <w:szCs w:val="2"/>
                <w:lang w:eastAsia="zh-CN"/>
              </w:rPr>
            </w:pPr>
          </w:p>
        </w:tc>
        <w:tc>
          <w:tcPr>
            <w:tcW w:w="412" w:type="dxa"/>
          </w:tcPr>
          <w:p>
            <w:pPr>
              <w:pStyle w:val="14"/>
              <w:spacing w:before="11"/>
              <w:ind w:left="108" w:right="111"/>
              <w:rPr>
                <w:rFonts w:ascii="微软雅黑" w:eastAsia="微软雅黑"/>
                <w:b/>
                <w:sz w:val="18"/>
              </w:rPr>
            </w:pPr>
            <w:r>
              <w:rPr>
                <w:rFonts w:hint="eastAsia" w:ascii="微软雅黑" w:eastAsia="微软雅黑"/>
                <w:b/>
                <w:sz w:val="18"/>
              </w:rPr>
              <w:t>指标</w:t>
            </w:r>
          </w:p>
          <w:p>
            <w:pPr>
              <w:pStyle w:val="14"/>
              <w:ind w:left="108"/>
              <w:rPr>
                <w:rFonts w:ascii="微软雅黑" w:eastAsia="微软雅黑"/>
                <w:b/>
                <w:sz w:val="18"/>
              </w:rPr>
            </w:pPr>
            <w:r>
              <w:rPr>
                <w:rFonts w:hint="eastAsia" w:ascii="微软雅黑" w:eastAsia="微软雅黑"/>
                <w:b/>
                <w:sz w:val="18"/>
              </w:rPr>
              <w:t>点</w:t>
            </w:r>
          </w:p>
        </w:tc>
        <w:tc>
          <w:tcPr>
            <w:tcW w:w="5902" w:type="dxa"/>
            <w:gridSpan w:val="5"/>
          </w:tcPr>
          <w:p>
            <w:pPr>
              <w:pStyle w:val="14"/>
              <w:spacing w:before="4"/>
              <w:ind w:left="107"/>
              <w:rPr>
                <w:sz w:val="24"/>
                <w:lang w:eastAsia="zh-CN"/>
              </w:rPr>
            </w:pPr>
            <w:r>
              <w:rPr>
                <w:sz w:val="24"/>
                <w:lang w:eastAsia="zh-CN"/>
              </w:rPr>
              <w:t>LO331 掌握主要哲学概念，理解不同文化观念。</w:t>
            </w:r>
          </w:p>
          <w:p>
            <w:pPr>
              <w:pStyle w:val="14"/>
              <w:spacing w:before="2"/>
              <w:ind w:left="107" w:right="254"/>
              <w:rPr>
                <w:sz w:val="24"/>
                <w:lang w:eastAsia="zh-CN"/>
              </w:rPr>
            </w:pPr>
            <w:r>
              <w:rPr>
                <w:sz w:val="24"/>
                <w:lang w:eastAsia="zh-CN"/>
              </w:rPr>
              <w:t>LO332 掌握中西方文化比较方法，提高分析问题与解决问题的能力。</w:t>
            </w:r>
          </w:p>
        </w:tc>
        <w:tc>
          <w:tcPr>
            <w:tcW w:w="1127" w:type="dxa"/>
            <w:gridSpan w:val="2"/>
          </w:tcPr>
          <w:p>
            <w:pPr>
              <w:pStyle w:val="14"/>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sz w:val="2"/>
                <w:szCs w:val="2"/>
                <w:lang w:eastAsia="zh-CN"/>
              </w:rPr>
            </w:pPr>
          </w:p>
        </w:tc>
        <w:tc>
          <w:tcPr>
            <w:tcW w:w="6314" w:type="dxa"/>
            <w:gridSpan w:val="6"/>
          </w:tcPr>
          <w:p>
            <w:pPr>
              <w:pStyle w:val="14"/>
              <w:spacing w:before="207"/>
              <w:ind w:left="108"/>
              <w:rPr>
                <w:sz w:val="24"/>
                <w:lang w:eastAsia="zh-CN"/>
              </w:rPr>
            </w:pPr>
            <w:r>
              <w:rPr>
                <w:sz w:val="24"/>
                <w:lang w:eastAsia="zh-CN"/>
              </w:rPr>
              <w:t>LO34 掌握商务实践知识，具有较强的外贸实务操作能力。</w:t>
            </w:r>
          </w:p>
        </w:tc>
        <w:tc>
          <w:tcPr>
            <w:tcW w:w="1127" w:type="dxa"/>
            <w:gridSpan w:val="2"/>
          </w:tcPr>
          <w:p>
            <w:pPr>
              <w:pStyle w:val="14"/>
              <w:numPr>
                <w:ilvl w:val="0"/>
                <w:numId w:val="2"/>
              </w:numPr>
              <w:jc w:val="center"/>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76" w:type="dxa"/>
            <w:tcBorders>
              <w:top w:val="nil"/>
            </w:tcBorders>
          </w:tcPr>
          <w:p>
            <w:pPr>
              <w:pStyle w:val="14"/>
              <w:rPr>
                <w:rFonts w:ascii="Times New Roman"/>
                <w:lang w:eastAsia="zh-CN"/>
              </w:rPr>
            </w:pPr>
          </w:p>
        </w:tc>
        <w:tc>
          <w:tcPr>
            <w:tcW w:w="458" w:type="dxa"/>
            <w:tcBorders>
              <w:top w:val="nil"/>
            </w:tcBorders>
          </w:tcPr>
          <w:p>
            <w:pPr>
              <w:pStyle w:val="14"/>
              <w:rPr>
                <w:rFonts w:ascii="Times New Roman"/>
                <w:lang w:eastAsia="zh-CN"/>
              </w:rPr>
            </w:pPr>
          </w:p>
        </w:tc>
        <w:tc>
          <w:tcPr>
            <w:tcW w:w="412" w:type="dxa"/>
          </w:tcPr>
          <w:p>
            <w:pPr>
              <w:pStyle w:val="14"/>
              <w:spacing w:before="2"/>
              <w:rPr>
                <w:rFonts w:ascii="黑体"/>
                <w:sz w:val="25"/>
                <w:lang w:eastAsia="zh-CN"/>
              </w:rPr>
            </w:pPr>
          </w:p>
          <w:p>
            <w:pPr>
              <w:pStyle w:val="14"/>
              <w:spacing w:before="1"/>
              <w:ind w:left="108" w:right="113"/>
              <w:jc w:val="both"/>
              <w:rPr>
                <w:rFonts w:ascii="微软雅黑" w:eastAsia="微软雅黑"/>
                <w:b/>
                <w:sz w:val="18"/>
              </w:rPr>
            </w:pPr>
            <w:r>
              <w:rPr>
                <w:rFonts w:hint="eastAsia" w:ascii="微软雅黑" w:eastAsia="微软雅黑"/>
                <w:b/>
                <w:sz w:val="18"/>
              </w:rPr>
              <w:t>指标点</w:t>
            </w:r>
          </w:p>
        </w:tc>
        <w:tc>
          <w:tcPr>
            <w:tcW w:w="5902" w:type="dxa"/>
            <w:gridSpan w:val="5"/>
          </w:tcPr>
          <w:p>
            <w:pPr>
              <w:pStyle w:val="14"/>
              <w:spacing w:before="4"/>
              <w:ind w:left="105" w:right="254"/>
              <w:rPr>
                <w:sz w:val="24"/>
                <w:lang w:eastAsia="zh-CN"/>
              </w:rPr>
            </w:pPr>
            <w:r>
              <w:rPr>
                <w:sz w:val="24"/>
                <w:lang w:eastAsia="zh-CN"/>
              </w:rPr>
              <w:t>LO341 掌握商务英语翻译方法，具备商务环境下口笔译能力。</w:t>
            </w:r>
          </w:p>
          <w:p>
            <w:pPr>
              <w:pStyle w:val="14"/>
              <w:spacing w:before="3"/>
              <w:ind w:left="105" w:right="323"/>
              <w:rPr>
                <w:spacing w:val="-8"/>
                <w:sz w:val="24"/>
                <w:lang w:eastAsia="zh-CN"/>
              </w:rPr>
            </w:pPr>
            <w:r>
              <w:rPr>
                <w:sz w:val="24"/>
                <w:lang w:eastAsia="zh-CN"/>
              </w:rPr>
              <w:t>LO341</w:t>
            </w:r>
            <w:r>
              <w:rPr>
                <w:spacing w:val="-8"/>
                <w:sz w:val="24"/>
                <w:lang w:eastAsia="zh-CN"/>
              </w:rPr>
              <w:t xml:space="preserve"> 掌握国际商务知识，分析相关商务案例。</w:t>
            </w:r>
          </w:p>
          <w:p>
            <w:pPr>
              <w:pStyle w:val="14"/>
              <w:spacing w:before="3"/>
              <w:ind w:left="105" w:right="323"/>
              <w:rPr>
                <w:sz w:val="24"/>
                <w:lang w:eastAsia="zh-CN"/>
              </w:rPr>
            </w:pPr>
            <w:r>
              <w:rPr>
                <w:spacing w:val="-8"/>
                <w:sz w:val="24"/>
                <w:lang w:eastAsia="zh-CN"/>
              </w:rPr>
              <w:t>LO343</w:t>
            </w:r>
            <w:r>
              <w:rPr>
                <w:spacing w:val="-9"/>
                <w:sz w:val="24"/>
                <w:lang w:eastAsia="zh-CN"/>
              </w:rPr>
              <w:t xml:space="preserve"> 运用商务英语技能，模拟或实际参加企业实践</w:t>
            </w:r>
          </w:p>
          <w:p>
            <w:pPr>
              <w:pStyle w:val="14"/>
              <w:spacing w:before="3"/>
              <w:ind w:left="105"/>
              <w:rPr>
                <w:sz w:val="24"/>
              </w:rPr>
            </w:pPr>
            <w:r>
              <w:rPr>
                <w:sz w:val="24"/>
              </w:rPr>
              <w:t>活动。</w:t>
            </w:r>
          </w:p>
        </w:tc>
        <w:tc>
          <w:tcPr>
            <w:tcW w:w="1127" w:type="dxa"/>
            <w:gridSpan w:val="2"/>
          </w:tcPr>
          <w:p>
            <w:pPr>
              <w:pStyle w:val="14"/>
              <w:numPr>
                <w:ilvl w:val="0"/>
                <w:numId w:val="2"/>
              </w:numPr>
              <w:spacing w:before="45"/>
              <w:jc w:val="center"/>
              <w:rPr>
                <w:rFonts w:ascii="Wingdings" w:hAnsi="Wingdings"/>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576" w:type="dxa"/>
            <w:vMerge w:val="restart"/>
          </w:tcPr>
          <w:p>
            <w:pPr>
              <w:pStyle w:val="14"/>
              <w:rPr>
                <w:rFonts w:ascii="黑体"/>
                <w:sz w:val="24"/>
              </w:rPr>
            </w:pPr>
          </w:p>
          <w:p>
            <w:pPr>
              <w:pStyle w:val="14"/>
              <w:rPr>
                <w:rFonts w:ascii="黑体"/>
                <w:sz w:val="24"/>
              </w:rPr>
            </w:pPr>
          </w:p>
          <w:p>
            <w:pPr>
              <w:pStyle w:val="14"/>
              <w:rPr>
                <w:rFonts w:ascii="黑体"/>
                <w:sz w:val="24"/>
              </w:rPr>
            </w:pPr>
          </w:p>
          <w:p>
            <w:pPr>
              <w:pStyle w:val="14"/>
              <w:spacing w:before="10"/>
              <w:rPr>
                <w:rFonts w:ascii="黑体"/>
                <w:sz w:val="29"/>
              </w:rPr>
            </w:pPr>
          </w:p>
          <w:p>
            <w:pPr>
              <w:pStyle w:val="14"/>
              <w:ind w:left="108"/>
              <w:rPr>
                <w:sz w:val="24"/>
              </w:rPr>
            </w:pPr>
            <w:r>
              <w:rPr>
                <w:sz w:val="24"/>
              </w:rPr>
              <w:t>LO4</w:t>
            </w:r>
          </w:p>
        </w:tc>
        <w:tc>
          <w:tcPr>
            <w:tcW w:w="458" w:type="dxa"/>
            <w:vMerge w:val="restart"/>
          </w:tcPr>
          <w:p>
            <w:pPr>
              <w:pStyle w:val="14"/>
              <w:rPr>
                <w:spacing w:val="-9"/>
                <w:sz w:val="24"/>
                <w:lang w:eastAsia="zh-CN"/>
              </w:rPr>
            </w:pPr>
          </w:p>
          <w:p>
            <w:pPr>
              <w:pStyle w:val="14"/>
              <w:rPr>
                <w:spacing w:val="-9"/>
                <w:sz w:val="24"/>
                <w:lang w:eastAsia="zh-CN"/>
              </w:rPr>
            </w:pPr>
          </w:p>
          <w:p>
            <w:pPr>
              <w:pStyle w:val="14"/>
              <w:spacing w:before="3"/>
              <w:rPr>
                <w:spacing w:val="-9"/>
                <w:sz w:val="24"/>
                <w:lang w:eastAsia="zh-CN"/>
              </w:rPr>
            </w:pPr>
          </w:p>
          <w:p>
            <w:pPr>
              <w:pStyle w:val="14"/>
              <w:spacing w:before="1"/>
              <w:ind w:left="107" w:right="98"/>
              <w:jc w:val="both"/>
              <w:rPr>
                <w:spacing w:val="-9"/>
                <w:sz w:val="24"/>
                <w:lang w:eastAsia="zh-CN"/>
              </w:rPr>
            </w:pPr>
            <w:r>
              <w:rPr>
                <w:spacing w:val="-9"/>
                <w:sz w:val="24"/>
                <w:lang w:eastAsia="zh-CN"/>
              </w:rPr>
              <w:t>尽责抗压</w:t>
            </w:r>
          </w:p>
        </w:tc>
        <w:tc>
          <w:tcPr>
            <w:tcW w:w="6314" w:type="dxa"/>
            <w:gridSpan w:val="6"/>
          </w:tcPr>
          <w:p>
            <w:pPr>
              <w:pStyle w:val="14"/>
              <w:spacing w:before="207"/>
              <w:ind w:left="108"/>
              <w:rPr>
                <w:spacing w:val="-9"/>
                <w:sz w:val="24"/>
                <w:lang w:eastAsia="zh-CN"/>
              </w:rPr>
            </w:pPr>
            <w:r>
              <w:rPr>
                <w:spacing w:val="-9"/>
                <w:sz w:val="24"/>
                <w:lang w:eastAsia="zh-CN"/>
              </w:rPr>
              <w:t>LO41 遵守纪律、守信守责；具有耐挫折、抗压力的能力。</w:t>
            </w:r>
          </w:p>
        </w:tc>
        <w:tc>
          <w:tcPr>
            <w:tcW w:w="1127" w:type="dxa"/>
            <w:gridSpan w:val="2"/>
          </w:tcPr>
          <w:p>
            <w:pPr>
              <w:pStyle w:val="14"/>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rFonts w:ascii="仿宋" w:hAnsi="仿宋" w:eastAsia="仿宋" w:cs="仿宋"/>
                <w:spacing w:val="-9"/>
                <w:sz w:val="24"/>
                <w:lang w:eastAsia="zh-CN"/>
              </w:rPr>
            </w:pPr>
          </w:p>
        </w:tc>
        <w:tc>
          <w:tcPr>
            <w:tcW w:w="412" w:type="dxa"/>
            <w:vMerge w:val="restart"/>
          </w:tcPr>
          <w:p>
            <w:pPr>
              <w:pStyle w:val="14"/>
              <w:rPr>
                <w:spacing w:val="-9"/>
                <w:sz w:val="24"/>
                <w:lang w:eastAsia="zh-CN"/>
              </w:rPr>
            </w:pPr>
          </w:p>
          <w:p>
            <w:pPr>
              <w:pStyle w:val="14"/>
              <w:spacing w:before="7"/>
              <w:rPr>
                <w:spacing w:val="-9"/>
                <w:sz w:val="24"/>
                <w:lang w:eastAsia="zh-CN"/>
              </w:rPr>
            </w:pPr>
          </w:p>
          <w:p>
            <w:pPr>
              <w:pStyle w:val="14"/>
              <w:ind w:left="108" w:right="113"/>
              <w:jc w:val="both"/>
              <w:rPr>
                <w:spacing w:val="-9"/>
                <w:sz w:val="24"/>
                <w:lang w:eastAsia="zh-CN"/>
              </w:rPr>
            </w:pPr>
            <w:r>
              <w:rPr>
                <w:rFonts w:hint="eastAsia"/>
                <w:spacing w:val="-9"/>
                <w:sz w:val="24"/>
                <w:lang w:eastAsia="zh-CN"/>
              </w:rPr>
              <w:t>指标点</w:t>
            </w:r>
          </w:p>
        </w:tc>
        <w:tc>
          <w:tcPr>
            <w:tcW w:w="5902" w:type="dxa"/>
            <w:gridSpan w:val="5"/>
            <w:tcBorders>
              <w:bottom w:val="nil"/>
            </w:tcBorders>
          </w:tcPr>
          <w:p>
            <w:pPr>
              <w:pStyle w:val="14"/>
              <w:spacing w:before="21"/>
              <w:ind w:left="105" w:right="225"/>
              <w:rPr>
                <w:spacing w:val="-9"/>
                <w:sz w:val="24"/>
                <w:lang w:eastAsia="zh-CN"/>
              </w:rPr>
            </w:pPr>
          </w:p>
          <w:p>
            <w:pPr>
              <w:pStyle w:val="14"/>
              <w:spacing w:before="21"/>
              <w:ind w:left="105" w:right="225"/>
              <w:rPr>
                <w:spacing w:val="-9"/>
                <w:sz w:val="24"/>
                <w:lang w:eastAsia="zh-CN"/>
              </w:rPr>
            </w:pPr>
            <w:r>
              <w:rPr>
                <w:rFonts w:hint="eastAsia"/>
                <w:spacing w:val="-9"/>
                <w:sz w:val="24"/>
                <w:lang w:eastAsia="zh-CN"/>
              </w:rPr>
              <w:t>L0411 遵纪守法：遵守校纪校规，具备法律意识。L0412 诚实守信：为人诚实，信守承诺，尽职尽责。LO413 爱岗敬业：了解与专业相关的法律法规，充分认识本专业就业岗位在社会经济中的作用和地位，在学习和社会实践中遵守职业规范，具备职业道德操</w:t>
            </w:r>
          </w:p>
          <w:p>
            <w:pPr>
              <w:pStyle w:val="14"/>
              <w:ind w:left="105"/>
              <w:rPr>
                <w:spacing w:val="-9"/>
                <w:sz w:val="24"/>
                <w:lang w:eastAsia="zh-CN"/>
              </w:rPr>
            </w:pPr>
            <w:r>
              <w:rPr>
                <w:rFonts w:hint="eastAsia"/>
                <w:spacing w:val="-9"/>
                <w:sz w:val="24"/>
                <w:lang w:eastAsia="zh-CN"/>
              </w:rPr>
              <w:t>守。</w:t>
            </w:r>
          </w:p>
        </w:tc>
        <w:tc>
          <w:tcPr>
            <w:tcW w:w="1127" w:type="dxa"/>
            <w:gridSpan w:val="2"/>
            <w:vMerge w:val="restart"/>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76" w:type="dxa"/>
            <w:vMerge w:val="continue"/>
            <w:tcBorders>
              <w:top w:val="nil"/>
            </w:tcBorders>
          </w:tcPr>
          <w:p>
            <w:pPr>
              <w:rPr>
                <w:sz w:val="2"/>
                <w:szCs w:val="2"/>
              </w:rPr>
            </w:pPr>
          </w:p>
        </w:tc>
        <w:tc>
          <w:tcPr>
            <w:tcW w:w="458" w:type="dxa"/>
            <w:vMerge w:val="continue"/>
            <w:tcBorders>
              <w:top w:val="nil"/>
            </w:tcBorders>
          </w:tcPr>
          <w:p>
            <w:pPr>
              <w:rPr>
                <w:rFonts w:ascii="仿宋" w:hAnsi="仿宋" w:eastAsia="仿宋" w:cs="仿宋"/>
                <w:spacing w:val="-9"/>
                <w:sz w:val="24"/>
                <w:lang w:eastAsia="zh-CN"/>
              </w:rPr>
            </w:pPr>
          </w:p>
        </w:tc>
        <w:tc>
          <w:tcPr>
            <w:tcW w:w="412" w:type="dxa"/>
            <w:vMerge w:val="continue"/>
            <w:tcBorders>
              <w:top w:val="nil"/>
            </w:tcBorders>
          </w:tcPr>
          <w:p>
            <w:pPr>
              <w:rPr>
                <w:rFonts w:ascii="仿宋" w:hAnsi="仿宋" w:eastAsia="仿宋" w:cs="仿宋"/>
                <w:spacing w:val="-9"/>
                <w:sz w:val="24"/>
                <w:lang w:eastAsia="zh-CN"/>
              </w:rPr>
            </w:pPr>
          </w:p>
        </w:tc>
        <w:tc>
          <w:tcPr>
            <w:tcW w:w="742" w:type="dxa"/>
            <w:gridSpan w:val="2"/>
            <w:tcBorders>
              <w:top w:val="nil"/>
              <w:right w:val="single" w:color="FFFFFF" w:sz="24" w:space="0"/>
            </w:tcBorders>
          </w:tcPr>
          <w:p>
            <w:pPr>
              <w:pStyle w:val="14"/>
              <w:ind w:right="-15"/>
              <w:jc w:val="right"/>
              <w:rPr>
                <w:spacing w:val="-9"/>
                <w:sz w:val="24"/>
                <w:lang w:eastAsia="zh-CN"/>
              </w:rPr>
            </w:pPr>
            <w:r>
              <w:rPr>
                <w:spacing w:val="-9"/>
                <w:sz w:val="24"/>
                <w:lang w:eastAsia="zh-CN"/>
              </w:rPr>
              <w:t>LO414</w:t>
            </w:r>
          </w:p>
        </w:tc>
        <w:tc>
          <w:tcPr>
            <w:tcW w:w="5160" w:type="dxa"/>
            <w:gridSpan w:val="3"/>
            <w:tcBorders>
              <w:top w:val="nil"/>
              <w:left w:val="single" w:color="FFFFFF" w:sz="24" w:space="0"/>
            </w:tcBorders>
          </w:tcPr>
          <w:p>
            <w:pPr>
              <w:pStyle w:val="14"/>
              <w:ind w:left="5"/>
              <w:rPr>
                <w:spacing w:val="-9"/>
                <w:sz w:val="24"/>
                <w:lang w:eastAsia="zh-CN"/>
              </w:rPr>
            </w:pPr>
            <w:r>
              <w:rPr>
                <w:rFonts w:hint="eastAsia"/>
                <w:spacing w:val="-9"/>
                <w:sz w:val="24"/>
                <w:lang w:eastAsia="zh-CN"/>
              </w:rPr>
              <w:t>身心健康，能承受学习和生活中的压力。</w:t>
            </w:r>
          </w:p>
        </w:tc>
        <w:tc>
          <w:tcPr>
            <w:tcW w:w="1127" w:type="dxa"/>
            <w:gridSpan w:val="2"/>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76" w:type="dxa"/>
            <w:vMerge w:val="restart"/>
          </w:tcPr>
          <w:p>
            <w:pPr>
              <w:pStyle w:val="14"/>
              <w:rPr>
                <w:rFonts w:ascii="黑体"/>
                <w:sz w:val="24"/>
                <w:lang w:eastAsia="zh-CN"/>
              </w:rPr>
            </w:pPr>
          </w:p>
          <w:p>
            <w:pPr>
              <w:pStyle w:val="14"/>
              <w:rPr>
                <w:rFonts w:ascii="黑体"/>
                <w:sz w:val="24"/>
                <w:lang w:eastAsia="zh-CN"/>
              </w:rPr>
            </w:pPr>
          </w:p>
          <w:p>
            <w:pPr>
              <w:pStyle w:val="14"/>
              <w:rPr>
                <w:rFonts w:ascii="黑体"/>
                <w:sz w:val="24"/>
                <w:lang w:eastAsia="zh-CN"/>
              </w:rPr>
            </w:pPr>
          </w:p>
          <w:p>
            <w:pPr>
              <w:pStyle w:val="14"/>
              <w:spacing w:before="1"/>
              <w:rPr>
                <w:rFonts w:ascii="黑体"/>
                <w:sz w:val="26"/>
                <w:lang w:eastAsia="zh-CN"/>
              </w:rPr>
            </w:pPr>
          </w:p>
          <w:p>
            <w:pPr>
              <w:pStyle w:val="14"/>
              <w:ind w:left="108"/>
              <w:rPr>
                <w:sz w:val="24"/>
              </w:rPr>
            </w:pPr>
            <w:r>
              <w:rPr>
                <w:sz w:val="24"/>
              </w:rPr>
              <w:t>LO5</w:t>
            </w:r>
          </w:p>
        </w:tc>
        <w:tc>
          <w:tcPr>
            <w:tcW w:w="458" w:type="dxa"/>
            <w:vMerge w:val="restart"/>
          </w:tcPr>
          <w:p>
            <w:pPr>
              <w:pStyle w:val="14"/>
              <w:rPr>
                <w:rFonts w:ascii="黑体"/>
                <w:sz w:val="24"/>
              </w:rPr>
            </w:pPr>
          </w:p>
          <w:p>
            <w:pPr>
              <w:pStyle w:val="14"/>
              <w:rPr>
                <w:rFonts w:ascii="黑体"/>
                <w:sz w:val="24"/>
              </w:rPr>
            </w:pPr>
          </w:p>
          <w:p>
            <w:pPr>
              <w:pStyle w:val="14"/>
              <w:spacing w:before="174"/>
              <w:ind w:left="107" w:right="98"/>
              <w:jc w:val="both"/>
              <w:rPr>
                <w:sz w:val="24"/>
              </w:rPr>
            </w:pPr>
            <w:r>
              <w:rPr>
                <w:sz w:val="24"/>
              </w:rPr>
              <w:t>协同创新</w:t>
            </w:r>
          </w:p>
        </w:tc>
        <w:tc>
          <w:tcPr>
            <w:tcW w:w="6314" w:type="dxa"/>
            <w:gridSpan w:val="6"/>
          </w:tcPr>
          <w:p>
            <w:pPr>
              <w:pStyle w:val="14"/>
              <w:spacing w:before="4"/>
              <w:ind w:left="108" w:right="63"/>
              <w:rPr>
                <w:sz w:val="24"/>
                <w:lang w:eastAsia="zh-CN"/>
              </w:rPr>
            </w:pPr>
            <w:r>
              <w:rPr>
                <w:sz w:val="24"/>
                <w:lang w:eastAsia="zh-CN"/>
              </w:rPr>
              <w:t>LO51 同群体保持良好的合作关系，做集体中的积极成员； 善于从多个维度思考问题，利用自己的知识与实践来提出</w:t>
            </w:r>
          </w:p>
          <w:p>
            <w:pPr>
              <w:pStyle w:val="14"/>
              <w:spacing w:before="3"/>
              <w:ind w:left="108"/>
              <w:rPr>
                <w:sz w:val="24"/>
              </w:rPr>
            </w:pPr>
            <w:r>
              <w:rPr>
                <w:sz w:val="24"/>
              </w:rPr>
              <w:t>新设想。</w:t>
            </w:r>
          </w:p>
        </w:tc>
        <w:tc>
          <w:tcPr>
            <w:tcW w:w="1127" w:type="dxa"/>
            <w:gridSpan w:val="2"/>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76" w:type="dxa"/>
            <w:vMerge w:val="continue"/>
            <w:tcBorders>
              <w:top w:val="nil"/>
            </w:tcBorders>
          </w:tcPr>
          <w:p>
            <w:pPr>
              <w:rPr>
                <w:sz w:val="2"/>
                <w:szCs w:val="2"/>
              </w:rPr>
            </w:pPr>
          </w:p>
        </w:tc>
        <w:tc>
          <w:tcPr>
            <w:tcW w:w="458" w:type="dxa"/>
            <w:vMerge w:val="continue"/>
            <w:tcBorders>
              <w:top w:val="nil"/>
            </w:tcBorders>
          </w:tcPr>
          <w:p>
            <w:pPr>
              <w:rPr>
                <w:sz w:val="2"/>
                <w:szCs w:val="2"/>
              </w:rPr>
            </w:pPr>
          </w:p>
        </w:tc>
        <w:tc>
          <w:tcPr>
            <w:tcW w:w="412" w:type="dxa"/>
            <w:vMerge w:val="restart"/>
          </w:tcPr>
          <w:p>
            <w:pPr>
              <w:pStyle w:val="14"/>
              <w:rPr>
                <w:rFonts w:ascii="黑体"/>
                <w:sz w:val="24"/>
              </w:rPr>
            </w:pPr>
          </w:p>
          <w:p>
            <w:pPr>
              <w:pStyle w:val="14"/>
              <w:spacing w:before="171"/>
              <w:ind w:left="108" w:right="113"/>
              <w:jc w:val="both"/>
              <w:rPr>
                <w:rFonts w:ascii="微软雅黑" w:eastAsia="微软雅黑"/>
                <w:b/>
                <w:sz w:val="18"/>
              </w:rPr>
            </w:pPr>
            <w:r>
              <w:rPr>
                <w:rFonts w:hint="eastAsia" w:ascii="微软雅黑" w:eastAsia="微软雅黑"/>
                <w:b/>
                <w:sz w:val="18"/>
              </w:rPr>
              <w:t>指标点</w:t>
            </w:r>
          </w:p>
        </w:tc>
        <w:tc>
          <w:tcPr>
            <w:tcW w:w="742" w:type="dxa"/>
            <w:gridSpan w:val="2"/>
            <w:tcBorders>
              <w:bottom w:val="nil"/>
              <w:right w:val="single" w:color="FFFFFF" w:sz="24" w:space="0"/>
            </w:tcBorders>
          </w:tcPr>
          <w:p>
            <w:pPr>
              <w:pStyle w:val="14"/>
              <w:ind w:right="-15"/>
              <w:jc w:val="right"/>
              <w:rPr>
                <w:sz w:val="24"/>
                <w:lang w:eastAsia="zh-CN"/>
              </w:rPr>
            </w:pPr>
            <w:r>
              <w:rPr>
                <w:sz w:val="24"/>
                <w:lang w:eastAsia="zh-CN"/>
              </w:rPr>
              <w:t>L0511</w:t>
            </w:r>
          </w:p>
        </w:tc>
        <w:tc>
          <w:tcPr>
            <w:tcW w:w="5160" w:type="dxa"/>
            <w:gridSpan w:val="3"/>
            <w:tcBorders>
              <w:left w:val="single" w:color="FFFFFF" w:sz="24" w:space="0"/>
              <w:bottom w:val="nil"/>
            </w:tcBorders>
          </w:tcPr>
          <w:p>
            <w:pPr>
              <w:pStyle w:val="14"/>
              <w:ind w:left="5"/>
              <w:rPr>
                <w:rFonts w:ascii="Source Han Sans HW" w:eastAsia="Source Han Sans HW"/>
                <w:b/>
                <w:sz w:val="24"/>
                <w:lang w:eastAsia="zh-CN"/>
              </w:rPr>
            </w:pPr>
            <w:r>
              <w:rPr>
                <w:rFonts w:hint="eastAsia"/>
                <w:sz w:val="24"/>
                <w:lang w:eastAsia="zh-CN"/>
              </w:rPr>
              <w:t>在集体活动中能主动担任自己的角色，与其他</w:t>
            </w:r>
          </w:p>
        </w:tc>
        <w:tc>
          <w:tcPr>
            <w:tcW w:w="1127" w:type="dxa"/>
            <w:gridSpan w:val="2"/>
            <w:vMerge w:val="restart"/>
          </w:tcPr>
          <w:p>
            <w:pPr>
              <w:pStyle w:val="14"/>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sz w:val="2"/>
                <w:szCs w:val="2"/>
                <w:lang w:eastAsia="zh-CN"/>
              </w:rPr>
            </w:pPr>
          </w:p>
        </w:tc>
        <w:tc>
          <w:tcPr>
            <w:tcW w:w="412" w:type="dxa"/>
            <w:vMerge w:val="continue"/>
            <w:tcBorders>
              <w:top w:val="nil"/>
            </w:tcBorders>
          </w:tcPr>
          <w:p>
            <w:pPr>
              <w:rPr>
                <w:sz w:val="2"/>
                <w:szCs w:val="2"/>
                <w:lang w:eastAsia="zh-CN"/>
              </w:rPr>
            </w:pPr>
          </w:p>
        </w:tc>
        <w:tc>
          <w:tcPr>
            <w:tcW w:w="5902" w:type="dxa"/>
            <w:gridSpan w:val="5"/>
            <w:tcBorders>
              <w:top w:val="nil"/>
            </w:tcBorders>
          </w:tcPr>
          <w:p>
            <w:pPr>
              <w:pStyle w:val="14"/>
              <w:ind w:left="105"/>
              <w:rPr>
                <w:sz w:val="24"/>
                <w:lang w:eastAsia="zh-CN"/>
              </w:rPr>
            </w:pPr>
            <w:r>
              <w:rPr>
                <w:rFonts w:hint="eastAsia"/>
                <w:sz w:val="24"/>
                <w:lang w:eastAsia="zh-CN"/>
              </w:rPr>
              <w:t>成员密切合作，共同完成任务。</w:t>
            </w:r>
          </w:p>
          <w:p>
            <w:pPr>
              <w:pStyle w:val="14"/>
              <w:ind w:left="105"/>
              <w:rPr>
                <w:sz w:val="24"/>
                <w:lang w:eastAsia="zh-CN"/>
              </w:rPr>
            </w:pPr>
            <w:r>
              <w:rPr>
                <w:rFonts w:hint="eastAsia"/>
                <w:sz w:val="24"/>
                <w:lang w:eastAsia="zh-CN"/>
              </w:rPr>
              <w:t>L0512 有质疑精神，能有逻辑的分析与批判。</w:t>
            </w:r>
          </w:p>
          <w:p>
            <w:pPr>
              <w:pStyle w:val="14"/>
              <w:tabs>
                <w:tab w:val="left" w:pos="958"/>
              </w:tabs>
              <w:spacing w:before="38"/>
              <w:ind w:left="105" w:right="97"/>
              <w:rPr>
                <w:sz w:val="24"/>
                <w:lang w:eastAsia="zh-CN"/>
              </w:rPr>
            </w:pPr>
            <w:r>
              <w:rPr>
                <w:rFonts w:hint="eastAsia"/>
                <w:sz w:val="24"/>
                <w:lang w:eastAsia="zh-CN"/>
              </w:rPr>
              <w:t>L0513</w:t>
            </w:r>
            <w:r>
              <w:rPr>
                <w:rFonts w:hint="eastAsia"/>
                <w:sz w:val="24"/>
                <w:lang w:eastAsia="zh-CN"/>
              </w:rPr>
              <w:tab/>
            </w:r>
            <w:r>
              <w:rPr>
                <w:rFonts w:hint="eastAsia"/>
                <w:sz w:val="24"/>
                <w:lang w:eastAsia="zh-CN"/>
              </w:rPr>
              <w:t>能用创新的方法或者多种方法解决复杂问题或真实问题。</w:t>
            </w:r>
          </w:p>
          <w:p>
            <w:pPr>
              <w:pStyle w:val="14"/>
              <w:ind w:left="105"/>
              <w:rPr>
                <w:sz w:val="24"/>
                <w:lang w:eastAsia="zh-CN"/>
              </w:rPr>
            </w:pPr>
            <w:r>
              <w:rPr>
                <w:rFonts w:hint="eastAsia"/>
                <w:sz w:val="24"/>
                <w:lang w:eastAsia="zh-CN"/>
              </w:rPr>
              <w:t>L0514 了解行业前沿知识技术。</w:t>
            </w:r>
          </w:p>
        </w:tc>
        <w:tc>
          <w:tcPr>
            <w:tcW w:w="1127" w:type="dxa"/>
            <w:gridSpan w:val="2"/>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76" w:type="dxa"/>
            <w:vMerge w:val="restart"/>
          </w:tcPr>
          <w:p>
            <w:pPr>
              <w:pStyle w:val="14"/>
              <w:rPr>
                <w:rFonts w:ascii="黑体"/>
                <w:sz w:val="24"/>
                <w:lang w:eastAsia="zh-CN"/>
              </w:rPr>
            </w:pPr>
          </w:p>
          <w:p>
            <w:pPr>
              <w:pStyle w:val="14"/>
              <w:rPr>
                <w:rFonts w:ascii="黑体"/>
                <w:sz w:val="24"/>
                <w:lang w:eastAsia="zh-CN"/>
              </w:rPr>
            </w:pPr>
          </w:p>
          <w:p>
            <w:pPr>
              <w:pStyle w:val="14"/>
              <w:spacing w:before="3"/>
              <w:rPr>
                <w:rFonts w:ascii="黑体"/>
                <w:sz w:val="17"/>
                <w:lang w:eastAsia="zh-CN"/>
              </w:rPr>
            </w:pPr>
          </w:p>
          <w:p>
            <w:pPr>
              <w:pStyle w:val="14"/>
              <w:spacing w:before="1"/>
              <w:ind w:left="108"/>
              <w:rPr>
                <w:sz w:val="24"/>
              </w:rPr>
            </w:pPr>
            <w:r>
              <w:rPr>
                <w:sz w:val="24"/>
              </w:rPr>
              <w:t>LO6</w:t>
            </w:r>
          </w:p>
        </w:tc>
        <w:tc>
          <w:tcPr>
            <w:tcW w:w="458" w:type="dxa"/>
            <w:vMerge w:val="restart"/>
          </w:tcPr>
          <w:p>
            <w:pPr>
              <w:pStyle w:val="14"/>
              <w:spacing w:before="9"/>
              <w:rPr>
                <w:rFonts w:ascii="黑体"/>
                <w:sz w:val="28"/>
              </w:rPr>
            </w:pPr>
          </w:p>
          <w:p>
            <w:pPr>
              <w:pStyle w:val="14"/>
              <w:spacing w:before="1"/>
              <w:ind w:left="107" w:right="98"/>
              <w:jc w:val="both"/>
              <w:rPr>
                <w:sz w:val="24"/>
              </w:rPr>
            </w:pPr>
            <w:r>
              <w:rPr>
                <w:sz w:val="24"/>
              </w:rPr>
              <w:t>信息应用</w:t>
            </w:r>
          </w:p>
        </w:tc>
        <w:tc>
          <w:tcPr>
            <w:tcW w:w="6314" w:type="dxa"/>
            <w:gridSpan w:val="6"/>
          </w:tcPr>
          <w:p>
            <w:pPr>
              <w:pStyle w:val="14"/>
              <w:spacing w:before="51"/>
              <w:ind w:left="108" w:right="63"/>
              <w:rPr>
                <w:sz w:val="24"/>
                <w:lang w:eastAsia="zh-CN"/>
              </w:rPr>
            </w:pPr>
            <w:r>
              <w:rPr>
                <w:sz w:val="24"/>
                <w:lang w:eastAsia="zh-CN"/>
              </w:rPr>
              <w:t>LO61 具备一定的信息素养，并能在工作中应用信息技术解决问题。</w:t>
            </w:r>
          </w:p>
        </w:tc>
        <w:tc>
          <w:tcPr>
            <w:tcW w:w="1127" w:type="dxa"/>
            <w:gridSpan w:val="2"/>
          </w:tcPr>
          <w:p>
            <w:pPr>
              <w:pStyle w:val="14"/>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sz w:val="2"/>
                <w:szCs w:val="2"/>
                <w:lang w:eastAsia="zh-CN"/>
              </w:rPr>
            </w:pPr>
          </w:p>
        </w:tc>
        <w:tc>
          <w:tcPr>
            <w:tcW w:w="412" w:type="dxa"/>
            <w:vMerge w:val="restart"/>
          </w:tcPr>
          <w:p>
            <w:pPr>
              <w:pStyle w:val="14"/>
              <w:spacing w:before="167"/>
              <w:ind w:left="108" w:right="113"/>
              <w:jc w:val="both"/>
              <w:rPr>
                <w:rFonts w:ascii="微软雅黑" w:eastAsia="微软雅黑"/>
                <w:b/>
                <w:sz w:val="18"/>
              </w:rPr>
            </w:pPr>
            <w:r>
              <w:rPr>
                <w:rFonts w:hint="eastAsia" w:ascii="微软雅黑" w:eastAsia="微软雅黑"/>
                <w:b/>
                <w:sz w:val="18"/>
              </w:rPr>
              <w:t>指标点</w:t>
            </w:r>
          </w:p>
        </w:tc>
        <w:tc>
          <w:tcPr>
            <w:tcW w:w="742" w:type="dxa"/>
            <w:gridSpan w:val="2"/>
            <w:tcBorders>
              <w:bottom w:val="nil"/>
              <w:right w:val="single" w:color="FFFFFF" w:sz="24" w:space="0"/>
            </w:tcBorders>
            <w:shd w:val="clear" w:color="auto" w:fill="FFFFFF" w:themeFill="background1"/>
          </w:tcPr>
          <w:p>
            <w:pPr>
              <w:pStyle w:val="14"/>
              <w:ind w:left="5"/>
              <w:rPr>
                <w:sz w:val="24"/>
                <w:lang w:eastAsia="zh-CN"/>
              </w:rPr>
            </w:pPr>
            <w:r>
              <w:rPr>
                <w:sz w:val="24"/>
                <w:lang w:eastAsia="zh-CN"/>
              </w:rPr>
              <w:t>LO611</w:t>
            </w:r>
          </w:p>
          <w:p>
            <w:pPr>
              <w:pStyle w:val="14"/>
              <w:ind w:left="5"/>
              <w:rPr>
                <w:sz w:val="24"/>
                <w:lang w:eastAsia="zh-CN"/>
              </w:rPr>
            </w:pPr>
            <w:r>
              <w:rPr>
                <w:sz w:val="24"/>
                <w:lang w:eastAsia="zh-CN"/>
              </w:rPr>
              <w:t>LO612</w:t>
            </w:r>
          </w:p>
        </w:tc>
        <w:tc>
          <w:tcPr>
            <w:tcW w:w="5160" w:type="dxa"/>
            <w:gridSpan w:val="3"/>
            <w:tcBorders>
              <w:left w:val="single" w:color="FFFFFF" w:sz="24" w:space="0"/>
              <w:bottom w:val="nil"/>
            </w:tcBorders>
            <w:shd w:val="clear" w:color="auto" w:fill="FFFFFF" w:themeFill="background1"/>
          </w:tcPr>
          <w:p>
            <w:pPr>
              <w:pStyle w:val="14"/>
              <w:ind w:left="5"/>
              <w:rPr>
                <w:sz w:val="24"/>
                <w:lang w:eastAsia="zh-CN"/>
              </w:rPr>
            </w:pPr>
            <w:r>
              <w:rPr>
                <w:rFonts w:hint="eastAsia"/>
                <w:sz w:val="24"/>
                <w:lang w:eastAsia="zh-CN"/>
              </w:rPr>
              <w:t>能够根据需要进行专业文献检索。</w:t>
            </w:r>
          </w:p>
          <w:p>
            <w:pPr>
              <w:pStyle w:val="14"/>
              <w:ind w:left="5"/>
              <w:rPr>
                <w:sz w:val="24"/>
                <w:lang w:eastAsia="zh-CN"/>
              </w:rPr>
            </w:pPr>
            <w:r>
              <w:rPr>
                <w:rFonts w:hint="eastAsia"/>
                <w:sz w:val="24"/>
                <w:lang w:eastAsia="zh-CN"/>
              </w:rPr>
              <w:t>能够使用适合的工具来搜集信息，并对信息加</w:t>
            </w:r>
          </w:p>
        </w:tc>
        <w:tc>
          <w:tcPr>
            <w:tcW w:w="1127" w:type="dxa"/>
            <w:gridSpan w:val="2"/>
            <w:vMerge w:val="restart"/>
          </w:tcPr>
          <w:p>
            <w:pPr>
              <w:pStyle w:val="14"/>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sz w:val="2"/>
                <w:szCs w:val="2"/>
                <w:lang w:eastAsia="zh-CN"/>
              </w:rPr>
            </w:pPr>
          </w:p>
        </w:tc>
        <w:tc>
          <w:tcPr>
            <w:tcW w:w="412" w:type="dxa"/>
            <w:vMerge w:val="continue"/>
            <w:tcBorders>
              <w:top w:val="nil"/>
            </w:tcBorders>
          </w:tcPr>
          <w:p>
            <w:pPr>
              <w:rPr>
                <w:sz w:val="2"/>
                <w:szCs w:val="2"/>
                <w:lang w:eastAsia="zh-CN"/>
              </w:rPr>
            </w:pPr>
          </w:p>
        </w:tc>
        <w:tc>
          <w:tcPr>
            <w:tcW w:w="5902" w:type="dxa"/>
            <w:gridSpan w:val="5"/>
            <w:tcBorders>
              <w:top w:val="nil"/>
              <w:bottom w:val="nil"/>
            </w:tcBorders>
            <w:shd w:val="clear" w:color="auto" w:fill="FFFFFF" w:themeFill="background1"/>
          </w:tcPr>
          <w:p>
            <w:pPr>
              <w:pStyle w:val="14"/>
              <w:ind w:left="5"/>
              <w:rPr>
                <w:sz w:val="24"/>
                <w:lang w:eastAsia="zh-CN"/>
              </w:rPr>
            </w:pPr>
            <w:r>
              <w:rPr>
                <w:rFonts w:hint="eastAsia"/>
                <w:sz w:val="24"/>
                <w:lang w:eastAsia="zh-CN"/>
              </w:rPr>
              <w:t>以分析、鉴别、判断与整合。</w:t>
            </w:r>
          </w:p>
        </w:tc>
        <w:tc>
          <w:tcPr>
            <w:tcW w:w="1127" w:type="dxa"/>
            <w:gridSpan w:val="2"/>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76" w:type="dxa"/>
            <w:vMerge w:val="continue"/>
            <w:tcBorders>
              <w:top w:val="nil"/>
            </w:tcBorders>
          </w:tcPr>
          <w:p>
            <w:pPr>
              <w:rPr>
                <w:sz w:val="2"/>
                <w:szCs w:val="2"/>
                <w:lang w:eastAsia="zh-CN"/>
              </w:rPr>
            </w:pPr>
          </w:p>
        </w:tc>
        <w:tc>
          <w:tcPr>
            <w:tcW w:w="458" w:type="dxa"/>
            <w:vMerge w:val="continue"/>
            <w:tcBorders>
              <w:top w:val="nil"/>
            </w:tcBorders>
          </w:tcPr>
          <w:p>
            <w:pPr>
              <w:rPr>
                <w:sz w:val="2"/>
                <w:szCs w:val="2"/>
                <w:lang w:eastAsia="zh-CN"/>
              </w:rPr>
            </w:pPr>
          </w:p>
        </w:tc>
        <w:tc>
          <w:tcPr>
            <w:tcW w:w="412" w:type="dxa"/>
            <w:vMerge w:val="continue"/>
            <w:tcBorders>
              <w:top w:val="nil"/>
            </w:tcBorders>
          </w:tcPr>
          <w:p>
            <w:pPr>
              <w:rPr>
                <w:sz w:val="2"/>
                <w:szCs w:val="2"/>
                <w:lang w:eastAsia="zh-CN"/>
              </w:rPr>
            </w:pPr>
          </w:p>
        </w:tc>
        <w:tc>
          <w:tcPr>
            <w:tcW w:w="742" w:type="dxa"/>
            <w:gridSpan w:val="2"/>
            <w:tcBorders>
              <w:top w:val="nil"/>
              <w:right w:val="single" w:color="FFFFFF" w:sz="24" w:space="0"/>
            </w:tcBorders>
            <w:shd w:val="clear" w:color="auto" w:fill="FFFFFF" w:themeFill="background1"/>
          </w:tcPr>
          <w:p>
            <w:pPr>
              <w:pStyle w:val="14"/>
              <w:ind w:left="5"/>
              <w:rPr>
                <w:sz w:val="24"/>
                <w:lang w:eastAsia="zh-CN"/>
              </w:rPr>
            </w:pPr>
            <w:r>
              <w:rPr>
                <w:sz w:val="24"/>
                <w:lang w:eastAsia="zh-CN"/>
              </w:rPr>
              <w:t>LO613</w:t>
            </w:r>
          </w:p>
        </w:tc>
        <w:tc>
          <w:tcPr>
            <w:tcW w:w="5160" w:type="dxa"/>
            <w:gridSpan w:val="3"/>
            <w:tcBorders>
              <w:top w:val="nil"/>
              <w:left w:val="single" w:color="FFFFFF" w:sz="24" w:space="0"/>
            </w:tcBorders>
            <w:shd w:val="clear" w:color="auto" w:fill="FFFFFF" w:themeFill="background1"/>
          </w:tcPr>
          <w:p>
            <w:pPr>
              <w:pStyle w:val="14"/>
              <w:ind w:left="5"/>
              <w:rPr>
                <w:sz w:val="24"/>
                <w:lang w:eastAsia="zh-CN"/>
              </w:rPr>
            </w:pPr>
            <w:r>
              <w:rPr>
                <w:rFonts w:hint="eastAsia"/>
                <w:sz w:val="24"/>
                <w:lang w:eastAsia="zh-CN"/>
              </w:rPr>
              <w:t>熟练使用计算机，掌握常用办公软件。</w:t>
            </w:r>
          </w:p>
        </w:tc>
        <w:tc>
          <w:tcPr>
            <w:tcW w:w="1127" w:type="dxa"/>
            <w:gridSpan w:val="2"/>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76" w:type="dxa"/>
            <w:vMerge w:val="restart"/>
          </w:tcPr>
          <w:p>
            <w:pPr>
              <w:pStyle w:val="14"/>
              <w:rPr>
                <w:rFonts w:ascii="黑体"/>
                <w:sz w:val="24"/>
                <w:lang w:eastAsia="zh-CN"/>
              </w:rPr>
            </w:pPr>
          </w:p>
          <w:p>
            <w:pPr>
              <w:pStyle w:val="14"/>
              <w:rPr>
                <w:rFonts w:ascii="黑体"/>
                <w:sz w:val="24"/>
                <w:lang w:eastAsia="zh-CN"/>
              </w:rPr>
            </w:pPr>
          </w:p>
          <w:p>
            <w:pPr>
              <w:pStyle w:val="14"/>
              <w:rPr>
                <w:rFonts w:ascii="黑体"/>
                <w:sz w:val="24"/>
                <w:lang w:eastAsia="zh-CN"/>
              </w:rPr>
            </w:pPr>
          </w:p>
          <w:p>
            <w:pPr>
              <w:pStyle w:val="14"/>
              <w:rPr>
                <w:rFonts w:ascii="黑体"/>
                <w:sz w:val="24"/>
                <w:lang w:eastAsia="zh-CN"/>
              </w:rPr>
            </w:pPr>
          </w:p>
          <w:p>
            <w:pPr>
              <w:pStyle w:val="14"/>
              <w:spacing w:before="6"/>
              <w:rPr>
                <w:rFonts w:ascii="黑体"/>
                <w:sz w:val="26"/>
                <w:lang w:eastAsia="zh-CN"/>
              </w:rPr>
            </w:pPr>
          </w:p>
          <w:p>
            <w:pPr>
              <w:pStyle w:val="14"/>
              <w:ind w:left="108"/>
              <w:rPr>
                <w:sz w:val="24"/>
              </w:rPr>
            </w:pPr>
            <w:r>
              <w:rPr>
                <w:sz w:val="24"/>
              </w:rPr>
              <w:t>LO7</w:t>
            </w:r>
          </w:p>
        </w:tc>
        <w:tc>
          <w:tcPr>
            <w:tcW w:w="458" w:type="dxa"/>
            <w:vMerge w:val="restart"/>
          </w:tcPr>
          <w:p>
            <w:pPr>
              <w:pStyle w:val="14"/>
              <w:rPr>
                <w:rFonts w:ascii="黑体"/>
                <w:sz w:val="24"/>
              </w:rPr>
            </w:pPr>
          </w:p>
          <w:p>
            <w:pPr>
              <w:pStyle w:val="14"/>
              <w:rPr>
                <w:rFonts w:ascii="黑体"/>
                <w:sz w:val="24"/>
              </w:rPr>
            </w:pPr>
          </w:p>
          <w:p>
            <w:pPr>
              <w:pStyle w:val="14"/>
              <w:rPr>
                <w:rFonts w:ascii="黑体"/>
                <w:sz w:val="24"/>
              </w:rPr>
            </w:pPr>
          </w:p>
          <w:p>
            <w:pPr>
              <w:pStyle w:val="14"/>
              <w:spacing w:before="178"/>
              <w:ind w:left="107" w:right="98"/>
              <w:jc w:val="both"/>
              <w:rPr>
                <w:sz w:val="24"/>
              </w:rPr>
            </w:pPr>
            <w:r>
              <w:rPr>
                <w:sz w:val="24"/>
              </w:rPr>
              <w:t>服务关爱</w:t>
            </w:r>
          </w:p>
        </w:tc>
        <w:tc>
          <w:tcPr>
            <w:tcW w:w="6314" w:type="dxa"/>
            <w:gridSpan w:val="6"/>
          </w:tcPr>
          <w:p>
            <w:pPr>
              <w:pStyle w:val="14"/>
              <w:spacing w:before="4"/>
              <w:ind w:left="108" w:right="63"/>
              <w:rPr>
                <w:sz w:val="24"/>
                <w:lang w:eastAsia="zh-CN"/>
              </w:rPr>
            </w:pPr>
            <w:r>
              <w:rPr>
                <w:sz w:val="24"/>
                <w:lang w:eastAsia="zh-CN"/>
              </w:rPr>
              <w:t>LO71 愿意服务他人、服务企业、服务社会；为人热忱，富于爱心，懂得感恩（“感恩、回报、爱心”为我校校训内</w:t>
            </w:r>
          </w:p>
          <w:p>
            <w:pPr>
              <w:pStyle w:val="14"/>
              <w:spacing w:before="3"/>
              <w:ind w:left="108"/>
              <w:rPr>
                <w:sz w:val="24"/>
              </w:rPr>
            </w:pPr>
            <w:r>
              <w:rPr>
                <w:sz w:val="24"/>
              </w:rPr>
              <w:t>容之一）</w:t>
            </w:r>
          </w:p>
        </w:tc>
        <w:tc>
          <w:tcPr>
            <w:tcW w:w="1127" w:type="dxa"/>
            <w:gridSpan w:val="2"/>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576" w:type="dxa"/>
            <w:vMerge w:val="continue"/>
            <w:tcBorders>
              <w:top w:val="nil"/>
            </w:tcBorders>
          </w:tcPr>
          <w:p>
            <w:pPr>
              <w:rPr>
                <w:sz w:val="2"/>
                <w:szCs w:val="2"/>
              </w:rPr>
            </w:pPr>
          </w:p>
        </w:tc>
        <w:tc>
          <w:tcPr>
            <w:tcW w:w="458" w:type="dxa"/>
            <w:vMerge w:val="continue"/>
            <w:tcBorders>
              <w:top w:val="nil"/>
            </w:tcBorders>
          </w:tcPr>
          <w:p>
            <w:pPr>
              <w:rPr>
                <w:sz w:val="2"/>
                <w:szCs w:val="2"/>
              </w:rPr>
            </w:pPr>
          </w:p>
        </w:tc>
        <w:tc>
          <w:tcPr>
            <w:tcW w:w="412" w:type="dxa"/>
          </w:tcPr>
          <w:p>
            <w:pPr>
              <w:pStyle w:val="14"/>
              <w:rPr>
                <w:rFonts w:ascii="黑体"/>
                <w:sz w:val="24"/>
              </w:rPr>
            </w:pPr>
          </w:p>
          <w:p>
            <w:pPr>
              <w:pStyle w:val="14"/>
              <w:rPr>
                <w:rFonts w:ascii="黑体"/>
                <w:sz w:val="24"/>
              </w:rPr>
            </w:pPr>
          </w:p>
          <w:p>
            <w:pPr>
              <w:pStyle w:val="14"/>
              <w:spacing w:before="176"/>
              <w:ind w:left="108" w:right="113"/>
              <w:jc w:val="both"/>
              <w:rPr>
                <w:rFonts w:ascii="微软雅黑" w:eastAsia="微软雅黑"/>
                <w:b/>
                <w:sz w:val="18"/>
              </w:rPr>
            </w:pPr>
            <w:r>
              <w:rPr>
                <w:rFonts w:hint="eastAsia" w:ascii="微软雅黑" w:eastAsia="微软雅黑"/>
                <w:b/>
                <w:sz w:val="18"/>
              </w:rPr>
              <w:t>指标点</w:t>
            </w:r>
          </w:p>
        </w:tc>
        <w:tc>
          <w:tcPr>
            <w:tcW w:w="5902" w:type="dxa"/>
            <w:gridSpan w:val="5"/>
          </w:tcPr>
          <w:p>
            <w:pPr>
              <w:pStyle w:val="14"/>
              <w:spacing w:before="21"/>
              <w:ind w:left="115" w:right="225"/>
              <w:rPr>
                <w:sz w:val="24"/>
                <w:lang w:eastAsia="zh-CN"/>
              </w:rPr>
            </w:pPr>
            <w:r>
              <w:rPr>
                <w:rFonts w:hint="eastAsia"/>
                <w:sz w:val="24"/>
                <w:lang w:eastAsia="zh-CN"/>
              </w:rPr>
              <w:t>LO711 爱党爱国：了解祖国的优秀传统文化和革命历史，构建爱党爱国的理想信念。</w:t>
            </w:r>
          </w:p>
          <w:p>
            <w:pPr>
              <w:pStyle w:val="14"/>
              <w:spacing w:before="3"/>
              <w:ind w:left="115" w:right="275"/>
              <w:rPr>
                <w:sz w:val="24"/>
                <w:lang w:eastAsia="zh-CN"/>
              </w:rPr>
            </w:pPr>
            <w:r>
              <w:rPr>
                <w:rFonts w:hint="eastAsia"/>
                <w:sz w:val="24"/>
                <w:lang w:eastAsia="zh-CN"/>
              </w:rPr>
              <w:t>LO712 助人为乐：富于爱心，懂得感恩，具备助人为乐的品质。</w:t>
            </w:r>
          </w:p>
          <w:p>
            <w:pPr>
              <w:pStyle w:val="14"/>
              <w:spacing w:before="2"/>
              <w:ind w:left="115" w:right="275"/>
              <w:rPr>
                <w:sz w:val="24"/>
                <w:lang w:eastAsia="zh-CN"/>
              </w:rPr>
            </w:pPr>
            <w:r>
              <w:rPr>
                <w:rFonts w:hint="eastAsia"/>
                <w:sz w:val="24"/>
                <w:lang w:eastAsia="zh-CN"/>
              </w:rPr>
              <w:t>LO713 奉献社会：具有服务企业、服务社会的意愿和行为能力。</w:t>
            </w:r>
          </w:p>
          <w:p>
            <w:pPr>
              <w:pStyle w:val="14"/>
              <w:ind w:left="115"/>
              <w:rPr>
                <w:sz w:val="24"/>
                <w:lang w:eastAsia="zh-CN"/>
              </w:rPr>
            </w:pPr>
            <w:r>
              <w:rPr>
                <w:rFonts w:hint="eastAsia"/>
                <w:sz w:val="24"/>
                <w:lang w:eastAsia="zh-CN"/>
              </w:rPr>
              <w:t>LO714 爱护环境：具有爱护环境的意识和与自然和谐</w:t>
            </w:r>
          </w:p>
          <w:p>
            <w:pPr>
              <w:pStyle w:val="14"/>
              <w:ind w:left="115"/>
              <w:rPr>
                <w:rFonts w:ascii="Source Han Sans HW" w:eastAsia="Source Han Sans HW"/>
                <w:b/>
                <w:sz w:val="24"/>
              </w:rPr>
            </w:pPr>
            <w:r>
              <w:rPr>
                <w:rFonts w:hint="eastAsia"/>
                <w:sz w:val="24"/>
                <w:lang w:eastAsia="zh-CN"/>
              </w:rPr>
              <w:t>相处的环保理念。</w:t>
            </w:r>
          </w:p>
        </w:tc>
        <w:tc>
          <w:tcPr>
            <w:tcW w:w="1127" w:type="dxa"/>
            <w:gridSpan w:val="2"/>
          </w:tcPr>
          <w:p>
            <w:pPr>
              <w:pStyle w:val="14"/>
              <w:ind w:left="4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76" w:type="dxa"/>
          </w:tcPr>
          <w:p>
            <w:pPr>
              <w:pStyle w:val="14"/>
              <w:spacing w:before="8"/>
              <w:rPr>
                <w:rFonts w:ascii="黑体"/>
                <w:sz w:val="24"/>
              </w:rPr>
            </w:pPr>
          </w:p>
          <w:p>
            <w:pPr>
              <w:pStyle w:val="14"/>
              <w:ind w:left="108"/>
              <w:rPr>
                <w:sz w:val="24"/>
              </w:rPr>
            </w:pPr>
            <w:r>
              <w:rPr>
                <w:sz w:val="24"/>
              </w:rPr>
              <w:t>LO8</w:t>
            </w:r>
          </w:p>
        </w:tc>
        <w:tc>
          <w:tcPr>
            <w:tcW w:w="458" w:type="dxa"/>
          </w:tcPr>
          <w:p>
            <w:pPr>
              <w:pStyle w:val="14"/>
              <w:spacing w:before="4"/>
              <w:ind w:left="107" w:right="98"/>
              <w:rPr>
                <w:sz w:val="24"/>
              </w:rPr>
            </w:pPr>
            <w:r>
              <w:rPr>
                <w:sz w:val="24"/>
              </w:rPr>
              <w:t>国际</w:t>
            </w:r>
          </w:p>
          <w:p>
            <w:pPr>
              <w:pStyle w:val="14"/>
              <w:spacing w:before="3"/>
              <w:ind w:left="107"/>
              <w:rPr>
                <w:sz w:val="24"/>
              </w:rPr>
            </w:pPr>
            <w:r>
              <w:rPr>
                <w:sz w:val="24"/>
              </w:rPr>
              <w:t>视</w:t>
            </w:r>
          </w:p>
        </w:tc>
        <w:tc>
          <w:tcPr>
            <w:tcW w:w="6314" w:type="dxa"/>
            <w:gridSpan w:val="6"/>
          </w:tcPr>
          <w:p>
            <w:pPr>
              <w:pStyle w:val="14"/>
              <w:spacing w:before="51"/>
              <w:ind w:left="108" w:right="183"/>
              <w:rPr>
                <w:sz w:val="24"/>
                <w:lang w:eastAsia="zh-CN"/>
              </w:rPr>
            </w:pPr>
            <w:r>
              <w:rPr>
                <w:sz w:val="24"/>
                <w:lang w:eastAsia="zh-CN"/>
              </w:rPr>
              <w:t>LO81 具有初步的第二外语表达沟通能力,有国际竞争与合作意识。</w:t>
            </w:r>
          </w:p>
        </w:tc>
        <w:tc>
          <w:tcPr>
            <w:tcW w:w="1127" w:type="dxa"/>
            <w:gridSpan w:val="2"/>
          </w:tcPr>
          <w:p>
            <w:pPr>
              <w:pStyle w:val="14"/>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4" w:type="dxa"/>
          <w:trHeight w:val="935" w:hRule="atLeast"/>
        </w:trPr>
        <w:tc>
          <w:tcPr>
            <w:tcW w:w="576" w:type="dxa"/>
            <w:tcBorders>
              <w:top w:val="nil"/>
            </w:tcBorders>
          </w:tcPr>
          <w:p>
            <w:pPr>
              <w:pStyle w:val="14"/>
              <w:rPr>
                <w:rFonts w:ascii="Times New Roman"/>
                <w:sz w:val="20"/>
                <w:lang w:eastAsia="zh-CN"/>
              </w:rPr>
            </w:pPr>
          </w:p>
        </w:tc>
        <w:tc>
          <w:tcPr>
            <w:tcW w:w="458" w:type="dxa"/>
            <w:tcBorders>
              <w:top w:val="nil"/>
            </w:tcBorders>
          </w:tcPr>
          <w:p>
            <w:pPr>
              <w:pStyle w:val="14"/>
              <w:spacing w:before="4"/>
              <w:ind w:left="107"/>
              <w:rPr>
                <w:sz w:val="24"/>
              </w:rPr>
            </w:pPr>
            <w:r>
              <w:rPr>
                <w:sz w:val="24"/>
              </w:rPr>
              <w:t>野</w:t>
            </w:r>
          </w:p>
        </w:tc>
        <w:tc>
          <w:tcPr>
            <w:tcW w:w="420" w:type="dxa"/>
            <w:gridSpan w:val="2"/>
          </w:tcPr>
          <w:p>
            <w:pPr>
              <w:pStyle w:val="14"/>
              <w:spacing w:before="11"/>
              <w:ind w:left="108" w:right="121"/>
              <w:rPr>
                <w:sz w:val="24"/>
                <w:lang w:eastAsia="zh-CN"/>
              </w:rPr>
            </w:pPr>
            <w:r>
              <w:rPr>
                <w:rFonts w:hint="eastAsia"/>
                <w:sz w:val="24"/>
                <w:lang w:eastAsia="zh-CN"/>
              </w:rPr>
              <w:t>指标</w:t>
            </w:r>
          </w:p>
          <w:p>
            <w:pPr>
              <w:pStyle w:val="14"/>
              <w:ind w:left="108"/>
              <w:rPr>
                <w:sz w:val="24"/>
                <w:lang w:eastAsia="zh-CN"/>
              </w:rPr>
            </w:pPr>
            <w:r>
              <w:rPr>
                <w:rFonts w:hint="eastAsia"/>
                <w:sz w:val="24"/>
                <w:lang w:eastAsia="zh-CN"/>
              </w:rPr>
              <w:t>点</w:t>
            </w:r>
          </w:p>
        </w:tc>
        <w:tc>
          <w:tcPr>
            <w:tcW w:w="1826" w:type="dxa"/>
            <w:gridSpan w:val="2"/>
            <w:tcBorders>
              <w:right w:val="nil"/>
            </w:tcBorders>
            <w:shd w:val="clear" w:color="auto" w:fill="FFFFFF" w:themeFill="background1"/>
          </w:tcPr>
          <w:p>
            <w:pPr>
              <w:pStyle w:val="14"/>
              <w:rPr>
                <w:sz w:val="24"/>
                <w:lang w:eastAsia="zh-CN"/>
              </w:rPr>
            </w:pPr>
            <w:r>
              <w:rPr>
                <w:rFonts w:hint="eastAsia"/>
                <w:sz w:val="24"/>
                <w:lang w:eastAsia="zh-CN"/>
              </w:rPr>
              <w:t>L0811</w:t>
            </w:r>
          </w:p>
          <w:p>
            <w:pPr>
              <w:pStyle w:val="14"/>
              <w:rPr>
                <w:sz w:val="24"/>
                <w:lang w:eastAsia="zh-CN"/>
              </w:rPr>
            </w:pPr>
            <w:r>
              <w:rPr>
                <w:rFonts w:hint="eastAsia"/>
                <w:sz w:val="24"/>
                <w:lang w:eastAsia="zh-CN"/>
              </w:rPr>
              <w:t>L0812</w:t>
            </w:r>
          </w:p>
          <w:p>
            <w:pPr>
              <w:pStyle w:val="14"/>
              <w:rPr>
                <w:sz w:val="24"/>
                <w:lang w:eastAsia="zh-CN"/>
              </w:rPr>
            </w:pPr>
            <w:r>
              <w:rPr>
                <w:rFonts w:hint="eastAsia"/>
                <w:sz w:val="24"/>
                <w:lang w:eastAsia="zh-CN"/>
              </w:rPr>
              <w:t>L0813</w:t>
            </w:r>
          </w:p>
        </w:tc>
        <w:tc>
          <w:tcPr>
            <w:tcW w:w="3984" w:type="dxa"/>
            <w:tcBorders>
              <w:left w:val="single" w:color="FFFFFF" w:sz="24" w:space="0"/>
            </w:tcBorders>
            <w:shd w:val="clear" w:color="auto" w:fill="FFFFFF" w:themeFill="background1"/>
          </w:tcPr>
          <w:p>
            <w:pPr>
              <w:pStyle w:val="14"/>
              <w:ind w:left="5"/>
              <w:rPr>
                <w:sz w:val="24"/>
                <w:lang w:eastAsia="zh-CN"/>
              </w:rPr>
            </w:pPr>
            <w:r>
              <w:rPr>
                <w:rFonts w:hint="eastAsia"/>
                <w:sz w:val="24"/>
                <w:lang w:eastAsia="zh-CN"/>
              </w:rPr>
              <w:t>具备外语表达沟通能力，达到本专业的要求</w:t>
            </w:r>
          </w:p>
          <w:p>
            <w:pPr>
              <w:pStyle w:val="14"/>
              <w:ind w:left="5"/>
              <w:rPr>
                <w:sz w:val="24"/>
                <w:lang w:eastAsia="zh-CN"/>
              </w:rPr>
            </w:pPr>
            <w:r>
              <w:rPr>
                <w:rFonts w:hint="eastAsia"/>
                <w:sz w:val="24"/>
                <w:lang w:eastAsia="zh-CN"/>
              </w:rPr>
              <w:t>理解其他国家历史文化，有跨文化胶流能力。</w:t>
            </w:r>
          </w:p>
          <w:p>
            <w:pPr>
              <w:pStyle w:val="14"/>
              <w:rPr>
                <w:sz w:val="24"/>
                <w:lang w:eastAsia="zh-CN"/>
              </w:rPr>
            </w:pPr>
            <w:r>
              <w:rPr>
                <w:rFonts w:hint="eastAsia"/>
                <w:sz w:val="24"/>
                <w:lang w:eastAsia="zh-CN"/>
              </w:rPr>
              <w:t>有国际竞争与合作意识。</w:t>
            </w:r>
          </w:p>
        </w:tc>
        <w:tc>
          <w:tcPr>
            <w:tcW w:w="1127" w:type="dxa"/>
            <w:gridSpan w:val="2"/>
          </w:tcPr>
          <w:p>
            <w:pPr>
              <w:pStyle w:val="14"/>
              <w:numPr>
                <w:ilvl w:val="0"/>
                <w:numId w:val="2"/>
              </w:numPr>
              <w:spacing w:before="45"/>
              <w:jc w:val="center"/>
              <w:rPr>
                <w:rFonts w:ascii="Wingdings" w:hAnsi="Wingdings"/>
                <w:sz w:val="20"/>
                <w:lang w:eastAsia="zh-CN"/>
              </w:rPr>
            </w:pPr>
          </w:p>
        </w:tc>
      </w:tr>
    </w:tbl>
    <w:p>
      <w:pPr>
        <w:pStyle w:val="4"/>
        <w:rPr>
          <w:rFonts w:ascii="黑体"/>
          <w:lang w:eastAsia="zh-CN"/>
        </w:rPr>
      </w:pPr>
    </w:p>
    <w:p>
      <w:pPr>
        <w:pStyle w:val="4"/>
        <w:rPr>
          <w:rFonts w:ascii="黑体"/>
          <w:lang w:eastAsia="zh-CN"/>
        </w:rPr>
      </w:pPr>
    </w:p>
    <w:p>
      <w:pPr>
        <w:spacing w:before="209" w:line="292" w:lineRule="auto"/>
        <w:ind w:left="940" w:right="465" w:firstLine="360"/>
        <w:rPr>
          <w:rFonts w:ascii="黑体" w:eastAsia="黑体"/>
          <w:sz w:val="24"/>
          <w:lang w:eastAsia="zh-CN"/>
        </w:rPr>
      </w:pPr>
      <w:r>
        <w:pict>
          <v:shape id="_x0000_s1026" o:spid="_x0000_s1026" o:spt="100" style="position:absolute;left:0pt;margin-left:195.9pt;margin-top:-72.9pt;height:31.2pt;width:241.7pt;mso-position-horizontal-relative:page;z-index:-251656192;mso-width-relative:page;mso-height-relative:page;" fillcolor="#FFFF00" filled="t" stroked="f" coordorigin="3918,-1458" coordsize="4834,624" path="m8752,-1146l3918,-1146,3918,-835,8752,-835,8752,-1146m8752,-1458l3918,-1458,3918,-1147,8752,-1147,8752,-1458e">
            <v:path arrowok="t" o:connecttype="segments"/>
            <v:fill on="t" focussize="0,0"/>
            <v:stroke on="f" joinstyle="round"/>
            <v:imagedata o:title=""/>
            <o:lock v:ext="edit"/>
          </v:shape>
        </w:pict>
      </w:r>
      <w:r>
        <w:rPr>
          <w:rFonts w:hint="eastAsia" w:ascii="黑体" w:eastAsia="黑体"/>
          <w:sz w:val="24"/>
          <w:lang w:eastAsia="zh-CN"/>
        </w:rPr>
        <w:t>五、课程目标/课程预期学习成果</w:t>
      </w:r>
    </w:p>
    <w:p>
      <w:pPr>
        <w:pStyle w:val="4"/>
        <w:spacing w:before="1"/>
        <w:rPr>
          <w:rFonts w:ascii="黑体"/>
          <w:sz w:val="21"/>
          <w:lang w:eastAsia="zh-CN"/>
        </w:rPr>
      </w:pPr>
    </w:p>
    <w:tbl>
      <w:tblPr>
        <w:tblStyle w:val="12"/>
        <w:tblW w:w="0" w:type="auto"/>
        <w:tblInd w:w="7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
        <w:gridCol w:w="1175"/>
        <w:gridCol w:w="2470"/>
        <w:gridCol w:w="1740"/>
        <w:gridCol w:w="2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68" w:type="dxa"/>
          </w:tcPr>
          <w:p>
            <w:pPr>
              <w:pStyle w:val="14"/>
              <w:spacing w:line="272" w:lineRule="exact"/>
              <w:ind w:left="166"/>
              <w:rPr>
                <w:rFonts w:ascii="Source Han Sans HW" w:eastAsia="Source Han Sans HW"/>
                <w:b/>
                <w:sz w:val="20"/>
              </w:rPr>
            </w:pPr>
            <w:r>
              <w:rPr>
                <w:rFonts w:hint="eastAsia" w:ascii="Source Han Sans HW" w:eastAsia="Source Han Sans HW"/>
                <w:b/>
                <w:sz w:val="20"/>
              </w:rPr>
              <w:t>序</w:t>
            </w:r>
          </w:p>
          <w:p>
            <w:pPr>
              <w:pStyle w:val="14"/>
              <w:spacing w:line="331" w:lineRule="exact"/>
              <w:ind w:left="166"/>
              <w:rPr>
                <w:rFonts w:ascii="Source Han Sans HW" w:eastAsia="Source Han Sans HW"/>
                <w:b/>
                <w:sz w:val="20"/>
              </w:rPr>
            </w:pPr>
            <w:r>
              <w:rPr>
                <w:rFonts w:hint="eastAsia" w:ascii="Source Han Sans HW" w:eastAsia="Source Han Sans HW"/>
                <w:b/>
                <w:sz w:val="20"/>
              </w:rPr>
              <w:t>号</w:t>
            </w:r>
          </w:p>
        </w:tc>
        <w:tc>
          <w:tcPr>
            <w:tcW w:w="1175" w:type="dxa"/>
          </w:tcPr>
          <w:p>
            <w:pPr>
              <w:pStyle w:val="14"/>
              <w:spacing w:line="272" w:lineRule="exact"/>
              <w:ind w:left="184"/>
              <w:rPr>
                <w:rFonts w:ascii="Source Han Sans HW" w:eastAsia="Source Han Sans HW"/>
                <w:b/>
                <w:sz w:val="20"/>
              </w:rPr>
            </w:pPr>
            <w:r>
              <w:rPr>
                <w:rFonts w:hint="eastAsia" w:ascii="Source Han Sans HW" w:eastAsia="Source Han Sans HW"/>
                <w:b/>
                <w:sz w:val="20"/>
              </w:rPr>
              <w:t>课程预期</w:t>
            </w:r>
          </w:p>
          <w:p>
            <w:pPr>
              <w:pStyle w:val="14"/>
              <w:spacing w:line="331" w:lineRule="exact"/>
              <w:ind w:left="184"/>
              <w:rPr>
                <w:rFonts w:ascii="Source Han Sans HW" w:eastAsia="Source Han Sans HW"/>
                <w:b/>
                <w:sz w:val="20"/>
              </w:rPr>
            </w:pPr>
            <w:r>
              <w:rPr>
                <w:rFonts w:hint="eastAsia" w:ascii="Source Han Sans HW" w:eastAsia="Source Han Sans HW"/>
                <w:b/>
                <w:sz w:val="20"/>
              </w:rPr>
              <w:t>学习成果</w:t>
            </w:r>
          </w:p>
        </w:tc>
        <w:tc>
          <w:tcPr>
            <w:tcW w:w="2470" w:type="dxa"/>
          </w:tcPr>
          <w:p>
            <w:pPr>
              <w:pStyle w:val="14"/>
              <w:spacing w:line="272" w:lineRule="exact"/>
              <w:ind w:left="114" w:right="106"/>
              <w:jc w:val="center"/>
              <w:rPr>
                <w:rFonts w:ascii="Source Han Sans HW" w:eastAsia="Source Han Sans HW"/>
                <w:b/>
                <w:sz w:val="20"/>
                <w:lang w:eastAsia="zh-CN"/>
              </w:rPr>
            </w:pPr>
            <w:r>
              <w:rPr>
                <w:rFonts w:hint="eastAsia" w:ascii="Source Han Sans HW" w:eastAsia="Source Han Sans HW"/>
                <w:b/>
                <w:sz w:val="20"/>
                <w:lang w:eastAsia="zh-CN"/>
              </w:rPr>
              <w:t>课程目标</w:t>
            </w:r>
          </w:p>
          <w:p>
            <w:pPr>
              <w:pStyle w:val="14"/>
              <w:spacing w:line="331" w:lineRule="exact"/>
              <w:ind w:left="114" w:right="106"/>
              <w:jc w:val="center"/>
              <w:rPr>
                <w:rFonts w:ascii="Source Han Sans HW" w:eastAsia="Source Han Sans HW"/>
                <w:b/>
                <w:sz w:val="20"/>
                <w:lang w:eastAsia="zh-CN"/>
              </w:rPr>
            </w:pPr>
          </w:p>
        </w:tc>
        <w:tc>
          <w:tcPr>
            <w:tcW w:w="1740" w:type="dxa"/>
          </w:tcPr>
          <w:p>
            <w:pPr>
              <w:pStyle w:val="14"/>
              <w:spacing w:before="69"/>
              <w:ind w:left="366"/>
              <w:rPr>
                <w:rFonts w:ascii="Source Han Sans HW" w:eastAsia="Source Han Sans HW"/>
                <w:b/>
                <w:sz w:val="20"/>
              </w:rPr>
            </w:pPr>
            <w:r>
              <w:rPr>
                <w:rFonts w:hint="eastAsia" w:ascii="Source Han Sans HW" w:eastAsia="Source Han Sans HW"/>
                <w:b/>
                <w:sz w:val="20"/>
              </w:rPr>
              <w:t>教与学方式</w:t>
            </w:r>
          </w:p>
        </w:tc>
        <w:tc>
          <w:tcPr>
            <w:tcW w:w="2122" w:type="dxa"/>
          </w:tcPr>
          <w:p>
            <w:pPr>
              <w:pStyle w:val="14"/>
              <w:spacing w:before="69"/>
              <w:ind w:left="561"/>
              <w:rPr>
                <w:rFonts w:ascii="Source Han Sans HW" w:eastAsia="Source Han Sans HW"/>
                <w:b/>
                <w:sz w:val="20"/>
              </w:rPr>
            </w:pPr>
            <w:r>
              <w:rPr>
                <w:rFonts w:hint="eastAsia" w:ascii="Source Han Sans HW" w:eastAsia="Source Han Sans HW"/>
                <w:b/>
                <w:sz w:val="20"/>
              </w:rPr>
              <w:t>评价方式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68" w:type="dxa"/>
          </w:tcPr>
          <w:p>
            <w:pPr>
              <w:pStyle w:val="14"/>
              <w:spacing w:before="160"/>
              <w:ind w:left="10"/>
              <w:jc w:val="center"/>
              <w:rPr>
                <w:sz w:val="24"/>
              </w:rPr>
            </w:pPr>
            <w:r>
              <w:rPr>
                <w:sz w:val="24"/>
              </w:rPr>
              <w:t>1</w:t>
            </w:r>
          </w:p>
        </w:tc>
        <w:tc>
          <w:tcPr>
            <w:tcW w:w="1175" w:type="dxa"/>
          </w:tcPr>
          <w:p>
            <w:pPr>
              <w:pStyle w:val="14"/>
              <w:spacing w:before="160"/>
              <w:ind w:left="267" w:right="257"/>
              <w:jc w:val="center"/>
              <w:rPr>
                <w:sz w:val="24"/>
              </w:rPr>
            </w:pPr>
            <w:r>
              <w:rPr>
                <w:sz w:val="24"/>
              </w:rPr>
              <w:t>LO211</w:t>
            </w:r>
          </w:p>
        </w:tc>
        <w:tc>
          <w:tcPr>
            <w:tcW w:w="2470" w:type="dxa"/>
          </w:tcPr>
          <w:p>
            <w:pPr>
              <w:pStyle w:val="14"/>
              <w:spacing w:before="41"/>
              <w:ind w:left="108"/>
              <w:rPr>
                <w:rFonts w:ascii="Times New Roman"/>
                <w:sz w:val="20"/>
              </w:rPr>
            </w:pPr>
            <w:r>
              <w:rPr>
                <w:rFonts w:ascii="Times New Roman"/>
                <w:sz w:val="20"/>
              </w:rPr>
              <w:t>Be able to make study plan</w:t>
            </w:r>
          </w:p>
          <w:p>
            <w:pPr>
              <w:pStyle w:val="14"/>
              <w:spacing w:before="82"/>
              <w:ind w:left="108"/>
              <w:rPr>
                <w:rFonts w:ascii="Times New Roman"/>
                <w:sz w:val="20"/>
              </w:rPr>
            </w:pPr>
            <w:r>
              <w:rPr>
                <w:rFonts w:ascii="Times New Roman"/>
                <w:sz w:val="20"/>
              </w:rPr>
              <w:t>according to objectivity.</w:t>
            </w:r>
          </w:p>
        </w:tc>
        <w:tc>
          <w:tcPr>
            <w:tcW w:w="1740" w:type="dxa"/>
          </w:tcPr>
          <w:p>
            <w:pPr>
              <w:pStyle w:val="14"/>
              <w:spacing w:before="197"/>
              <w:ind w:left="108"/>
              <w:rPr>
                <w:rFonts w:ascii="Times New Roman"/>
                <w:sz w:val="20"/>
              </w:rPr>
            </w:pPr>
            <w:r>
              <w:rPr>
                <w:rFonts w:ascii="Times New Roman"/>
                <w:sz w:val="20"/>
              </w:rPr>
              <w:t>By self-study</w:t>
            </w:r>
          </w:p>
        </w:tc>
        <w:tc>
          <w:tcPr>
            <w:tcW w:w="2122" w:type="dxa"/>
          </w:tcPr>
          <w:p>
            <w:pPr>
              <w:pStyle w:val="14"/>
              <w:spacing w:before="41"/>
              <w:ind w:left="230"/>
              <w:rPr>
                <w:rFonts w:ascii="Times New Roman"/>
                <w:sz w:val="20"/>
              </w:rPr>
            </w:pPr>
            <w:r>
              <w:rPr>
                <w:rFonts w:ascii="Times New Roman"/>
                <w:sz w:val="20"/>
              </w:rPr>
              <w:t>Present study plan</w:t>
            </w:r>
          </w:p>
          <w:p>
            <w:pPr>
              <w:pStyle w:val="14"/>
              <w:spacing w:before="82"/>
              <w:ind w:left="191"/>
              <w:rPr>
                <w:rFonts w:ascii="Times New Roman" w:hAnsi="Times New Roman"/>
                <w:sz w:val="20"/>
              </w:rPr>
            </w:pPr>
            <w:r>
              <w:rPr>
                <w:rFonts w:ascii="Times New Roman" w:hAnsi="Times New Roman"/>
                <w:sz w:val="20"/>
              </w:rPr>
              <w:t>and it’s availability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8" w:type="dxa"/>
            <w:vMerge w:val="restart"/>
          </w:tcPr>
          <w:p>
            <w:pPr>
              <w:pStyle w:val="14"/>
              <w:rPr>
                <w:rFonts w:ascii="黑体"/>
                <w:sz w:val="24"/>
              </w:rPr>
            </w:pPr>
          </w:p>
          <w:p>
            <w:pPr>
              <w:pStyle w:val="14"/>
              <w:rPr>
                <w:rFonts w:ascii="黑体"/>
                <w:sz w:val="24"/>
              </w:rPr>
            </w:pPr>
          </w:p>
          <w:p>
            <w:pPr>
              <w:pStyle w:val="14"/>
              <w:spacing w:before="3"/>
              <w:rPr>
                <w:rFonts w:ascii="黑体"/>
                <w:sz w:val="30"/>
              </w:rPr>
            </w:pPr>
          </w:p>
          <w:p>
            <w:pPr>
              <w:pStyle w:val="14"/>
              <w:ind w:left="10"/>
              <w:jc w:val="center"/>
              <w:rPr>
                <w:sz w:val="24"/>
              </w:rPr>
            </w:pPr>
            <w:r>
              <w:rPr>
                <w:sz w:val="24"/>
              </w:rPr>
              <w:t>2</w:t>
            </w:r>
          </w:p>
        </w:tc>
        <w:tc>
          <w:tcPr>
            <w:tcW w:w="1175" w:type="dxa"/>
            <w:vMerge w:val="restart"/>
          </w:tcPr>
          <w:p>
            <w:pPr>
              <w:pStyle w:val="14"/>
              <w:rPr>
                <w:rFonts w:ascii="黑体"/>
                <w:sz w:val="24"/>
              </w:rPr>
            </w:pPr>
          </w:p>
          <w:p>
            <w:pPr>
              <w:pStyle w:val="14"/>
              <w:rPr>
                <w:rFonts w:ascii="黑体"/>
                <w:sz w:val="24"/>
              </w:rPr>
            </w:pPr>
          </w:p>
          <w:p>
            <w:pPr>
              <w:pStyle w:val="14"/>
              <w:spacing w:before="3"/>
              <w:rPr>
                <w:rFonts w:ascii="黑体"/>
                <w:sz w:val="30"/>
              </w:rPr>
            </w:pPr>
          </w:p>
          <w:p>
            <w:pPr>
              <w:pStyle w:val="14"/>
              <w:ind w:left="287"/>
              <w:rPr>
                <w:sz w:val="24"/>
              </w:rPr>
            </w:pPr>
            <w:r>
              <w:rPr>
                <w:sz w:val="24"/>
              </w:rPr>
              <w:t>LO341</w:t>
            </w:r>
          </w:p>
        </w:tc>
        <w:tc>
          <w:tcPr>
            <w:tcW w:w="2470" w:type="dxa"/>
          </w:tcPr>
          <w:p>
            <w:pPr>
              <w:pStyle w:val="14"/>
              <w:spacing w:before="138"/>
              <w:ind w:left="114" w:right="104"/>
              <w:jc w:val="center"/>
              <w:rPr>
                <w:rFonts w:ascii="Times New Roman"/>
                <w:sz w:val="20"/>
              </w:rPr>
            </w:pPr>
            <w:r>
              <w:rPr>
                <w:rFonts w:ascii="Times New Roman"/>
                <w:sz w:val="20"/>
              </w:rPr>
              <w:t>Choose appropriate terms</w:t>
            </w:r>
          </w:p>
        </w:tc>
        <w:tc>
          <w:tcPr>
            <w:tcW w:w="1740" w:type="dxa"/>
          </w:tcPr>
          <w:p>
            <w:pPr>
              <w:pStyle w:val="14"/>
              <w:ind w:left="456"/>
              <w:rPr>
                <w:rFonts w:ascii="Times New Roman"/>
                <w:sz w:val="20"/>
              </w:rPr>
            </w:pPr>
            <w:r>
              <w:rPr>
                <w:rFonts w:ascii="Times New Roman"/>
                <w:sz w:val="20"/>
              </w:rPr>
              <w:t>Lecturing,</w:t>
            </w:r>
          </w:p>
          <w:p>
            <w:pPr>
              <w:pStyle w:val="14"/>
              <w:spacing w:before="46"/>
              <w:ind w:left="453"/>
              <w:rPr>
                <w:rFonts w:ascii="Times New Roman"/>
                <w:sz w:val="20"/>
              </w:rPr>
            </w:pPr>
            <w:r>
              <w:rPr>
                <w:rFonts w:ascii="Times New Roman"/>
                <w:sz w:val="20"/>
              </w:rPr>
              <w:t>discussing</w:t>
            </w:r>
          </w:p>
        </w:tc>
        <w:tc>
          <w:tcPr>
            <w:tcW w:w="2122" w:type="dxa"/>
          </w:tcPr>
          <w:p>
            <w:pPr>
              <w:pStyle w:val="14"/>
              <w:ind w:left="243" w:right="234"/>
              <w:jc w:val="center"/>
              <w:rPr>
                <w:rFonts w:ascii="Times New Roman"/>
                <w:sz w:val="20"/>
              </w:rPr>
            </w:pPr>
            <w:r>
              <w:rPr>
                <w:rFonts w:ascii="Times New Roman"/>
                <w:sz w:val="20"/>
              </w:rPr>
              <w:t>examination, oral</w:t>
            </w:r>
          </w:p>
          <w:p>
            <w:pPr>
              <w:pStyle w:val="14"/>
              <w:spacing w:before="46"/>
              <w:ind w:left="243" w:right="233"/>
              <w:jc w:val="center"/>
              <w:rPr>
                <w:rFonts w:ascii="Times New Roman"/>
                <w:sz w:val="20"/>
              </w:rPr>
            </w:pPr>
            <w:r>
              <w:rPr>
                <w:rFonts w:ascii="Times New Roman"/>
                <w:sz w:val="20"/>
              </w:rPr>
              <w:t>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8" w:type="dxa"/>
            <w:vMerge w:val="continue"/>
            <w:tcBorders>
              <w:top w:val="nil"/>
            </w:tcBorders>
          </w:tcPr>
          <w:p>
            <w:pPr>
              <w:rPr>
                <w:sz w:val="2"/>
                <w:szCs w:val="2"/>
              </w:rPr>
            </w:pPr>
          </w:p>
        </w:tc>
        <w:tc>
          <w:tcPr>
            <w:tcW w:w="1175" w:type="dxa"/>
            <w:vMerge w:val="continue"/>
            <w:tcBorders>
              <w:top w:val="nil"/>
            </w:tcBorders>
          </w:tcPr>
          <w:p>
            <w:pPr>
              <w:rPr>
                <w:sz w:val="2"/>
                <w:szCs w:val="2"/>
              </w:rPr>
            </w:pPr>
          </w:p>
        </w:tc>
        <w:tc>
          <w:tcPr>
            <w:tcW w:w="2470" w:type="dxa"/>
          </w:tcPr>
          <w:p>
            <w:pPr>
              <w:pStyle w:val="14"/>
              <w:spacing w:before="138"/>
              <w:ind w:left="114" w:right="105"/>
              <w:jc w:val="center"/>
              <w:rPr>
                <w:rFonts w:ascii="Times New Roman"/>
                <w:sz w:val="20"/>
              </w:rPr>
            </w:pPr>
            <w:r>
              <w:rPr>
                <w:rFonts w:ascii="Times New Roman"/>
                <w:sz w:val="20"/>
              </w:rPr>
              <w:t>Freight calculation</w:t>
            </w:r>
          </w:p>
        </w:tc>
        <w:tc>
          <w:tcPr>
            <w:tcW w:w="1740" w:type="dxa"/>
          </w:tcPr>
          <w:p>
            <w:pPr>
              <w:pStyle w:val="14"/>
              <w:ind w:left="124" w:right="115"/>
              <w:jc w:val="center"/>
              <w:rPr>
                <w:rFonts w:ascii="Times New Roman"/>
                <w:sz w:val="20"/>
              </w:rPr>
            </w:pPr>
            <w:r>
              <w:rPr>
                <w:rFonts w:ascii="Times New Roman"/>
                <w:sz w:val="20"/>
              </w:rPr>
              <w:t>Lecturing,</w:t>
            </w:r>
          </w:p>
          <w:p>
            <w:pPr>
              <w:pStyle w:val="14"/>
              <w:spacing w:before="46"/>
              <w:ind w:left="125" w:right="115"/>
              <w:jc w:val="center"/>
              <w:rPr>
                <w:rFonts w:ascii="Times New Roman"/>
                <w:sz w:val="20"/>
              </w:rPr>
            </w:pPr>
            <w:r>
              <w:rPr>
                <w:rFonts w:ascii="Times New Roman"/>
                <w:sz w:val="20"/>
              </w:rPr>
              <w:t>Exploring method</w:t>
            </w:r>
          </w:p>
        </w:tc>
        <w:tc>
          <w:tcPr>
            <w:tcW w:w="2122" w:type="dxa"/>
          </w:tcPr>
          <w:p>
            <w:pPr>
              <w:pStyle w:val="14"/>
              <w:ind w:left="514"/>
              <w:rPr>
                <w:rFonts w:ascii="Times New Roman"/>
                <w:sz w:val="20"/>
              </w:rPr>
            </w:pPr>
            <w:r>
              <w:rPr>
                <w:rFonts w:ascii="Times New Roman"/>
                <w:sz w:val="20"/>
              </w:rPr>
              <w:t>experiment</w:t>
            </w:r>
          </w:p>
          <w:p>
            <w:pPr>
              <w:pStyle w:val="14"/>
              <w:spacing w:before="46"/>
              <w:ind w:left="547"/>
              <w:rPr>
                <w:rFonts w:ascii="Times New Roman"/>
                <w:sz w:val="20"/>
              </w:rPr>
            </w:pPr>
            <w:r>
              <w:rPr>
                <w:rFonts w:ascii="Times New Roman"/>
                <w:sz w:val="20"/>
              </w:rPr>
              <w:t>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8" w:type="dxa"/>
            <w:vMerge w:val="continue"/>
            <w:tcBorders>
              <w:top w:val="nil"/>
            </w:tcBorders>
          </w:tcPr>
          <w:p>
            <w:pPr>
              <w:rPr>
                <w:sz w:val="2"/>
                <w:szCs w:val="2"/>
              </w:rPr>
            </w:pPr>
          </w:p>
        </w:tc>
        <w:tc>
          <w:tcPr>
            <w:tcW w:w="1175" w:type="dxa"/>
            <w:vMerge w:val="continue"/>
            <w:tcBorders>
              <w:top w:val="nil"/>
            </w:tcBorders>
          </w:tcPr>
          <w:p>
            <w:pPr>
              <w:rPr>
                <w:sz w:val="2"/>
                <w:szCs w:val="2"/>
              </w:rPr>
            </w:pPr>
          </w:p>
        </w:tc>
        <w:tc>
          <w:tcPr>
            <w:tcW w:w="2470" w:type="dxa"/>
          </w:tcPr>
          <w:p>
            <w:pPr>
              <w:pStyle w:val="14"/>
              <w:spacing w:before="138"/>
              <w:ind w:left="114" w:right="105"/>
              <w:jc w:val="center"/>
              <w:rPr>
                <w:rFonts w:ascii="Times New Roman"/>
                <w:sz w:val="20"/>
              </w:rPr>
            </w:pPr>
            <w:r>
              <w:rPr>
                <w:rFonts w:ascii="Times New Roman"/>
                <w:sz w:val="20"/>
              </w:rPr>
              <w:t>Insurance fee calculation</w:t>
            </w:r>
          </w:p>
        </w:tc>
        <w:tc>
          <w:tcPr>
            <w:tcW w:w="1740" w:type="dxa"/>
          </w:tcPr>
          <w:p>
            <w:pPr>
              <w:pStyle w:val="14"/>
              <w:ind w:left="456"/>
              <w:rPr>
                <w:rFonts w:ascii="Times New Roman"/>
                <w:sz w:val="20"/>
              </w:rPr>
            </w:pPr>
            <w:r>
              <w:rPr>
                <w:rFonts w:ascii="Times New Roman"/>
                <w:sz w:val="20"/>
              </w:rPr>
              <w:t>Lecturing,</w:t>
            </w:r>
          </w:p>
          <w:p>
            <w:pPr>
              <w:pStyle w:val="14"/>
              <w:spacing w:before="46"/>
              <w:ind w:left="145"/>
              <w:rPr>
                <w:rFonts w:ascii="宋体"/>
                <w:sz w:val="20"/>
              </w:rPr>
            </w:pPr>
            <w:r>
              <w:rPr>
                <w:rFonts w:ascii="Times New Roman"/>
                <w:sz w:val="20"/>
              </w:rPr>
              <w:t>Exploring method</w:t>
            </w:r>
            <w:r>
              <w:rPr>
                <w:rFonts w:ascii="宋体"/>
                <w:sz w:val="20"/>
              </w:rPr>
              <w:t xml:space="preserve"> </w:t>
            </w:r>
          </w:p>
        </w:tc>
        <w:tc>
          <w:tcPr>
            <w:tcW w:w="2122" w:type="dxa"/>
          </w:tcPr>
          <w:p>
            <w:pPr>
              <w:pStyle w:val="14"/>
              <w:ind w:left="514"/>
              <w:rPr>
                <w:rFonts w:ascii="Times New Roman"/>
                <w:sz w:val="20"/>
              </w:rPr>
            </w:pPr>
            <w:r>
              <w:rPr>
                <w:rFonts w:ascii="Times New Roman"/>
                <w:sz w:val="20"/>
              </w:rPr>
              <w:t>experiment</w:t>
            </w:r>
          </w:p>
          <w:p>
            <w:pPr>
              <w:pStyle w:val="14"/>
              <w:spacing w:before="46"/>
              <w:ind w:left="547"/>
              <w:rPr>
                <w:rFonts w:ascii="宋体"/>
                <w:sz w:val="20"/>
              </w:rPr>
            </w:pPr>
            <w:r>
              <w:rPr>
                <w:rFonts w:ascii="Times New Roman"/>
                <w:sz w:val="20"/>
              </w:rPr>
              <w:t>evaluation</w:t>
            </w:r>
            <w:r>
              <w:rPr>
                <w:rFonts w:ascii="宋体"/>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8" w:type="dxa"/>
            <w:vMerge w:val="continue"/>
            <w:tcBorders>
              <w:top w:val="nil"/>
            </w:tcBorders>
          </w:tcPr>
          <w:p>
            <w:pPr>
              <w:rPr>
                <w:sz w:val="2"/>
                <w:szCs w:val="2"/>
              </w:rPr>
            </w:pPr>
          </w:p>
        </w:tc>
        <w:tc>
          <w:tcPr>
            <w:tcW w:w="1175" w:type="dxa"/>
            <w:vMerge w:val="continue"/>
            <w:tcBorders>
              <w:top w:val="nil"/>
            </w:tcBorders>
          </w:tcPr>
          <w:p>
            <w:pPr>
              <w:rPr>
                <w:sz w:val="2"/>
                <w:szCs w:val="2"/>
              </w:rPr>
            </w:pPr>
          </w:p>
        </w:tc>
        <w:tc>
          <w:tcPr>
            <w:tcW w:w="2470" w:type="dxa"/>
          </w:tcPr>
          <w:p>
            <w:pPr>
              <w:pStyle w:val="14"/>
              <w:spacing w:before="174"/>
              <w:ind w:left="114" w:right="104"/>
              <w:jc w:val="center"/>
              <w:rPr>
                <w:rFonts w:ascii="Times New Roman"/>
                <w:sz w:val="20"/>
              </w:rPr>
            </w:pPr>
            <w:r>
              <w:rPr>
                <w:rFonts w:ascii="Times New Roman"/>
                <w:sz w:val="20"/>
              </w:rPr>
              <w:t>Quoting the price</w:t>
            </w:r>
          </w:p>
        </w:tc>
        <w:tc>
          <w:tcPr>
            <w:tcW w:w="1740" w:type="dxa"/>
          </w:tcPr>
          <w:p>
            <w:pPr>
              <w:pStyle w:val="14"/>
              <w:spacing w:before="41"/>
              <w:ind w:left="124" w:right="115"/>
              <w:jc w:val="center"/>
              <w:rPr>
                <w:rFonts w:ascii="Times New Roman"/>
                <w:sz w:val="20"/>
              </w:rPr>
            </w:pPr>
            <w:r>
              <w:rPr>
                <w:rFonts w:ascii="Times New Roman"/>
                <w:sz w:val="20"/>
              </w:rPr>
              <w:t>Lecturing,</w:t>
            </w:r>
          </w:p>
          <w:p>
            <w:pPr>
              <w:pStyle w:val="14"/>
              <w:spacing w:before="82"/>
              <w:ind w:left="125" w:right="115"/>
              <w:jc w:val="center"/>
              <w:rPr>
                <w:rFonts w:ascii="Times New Roman"/>
                <w:sz w:val="20"/>
              </w:rPr>
            </w:pPr>
            <w:r>
              <w:rPr>
                <w:rFonts w:ascii="Times New Roman"/>
                <w:sz w:val="20"/>
              </w:rPr>
              <w:t>Exploring method</w:t>
            </w:r>
          </w:p>
        </w:tc>
        <w:tc>
          <w:tcPr>
            <w:tcW w:w="2122" w:type="dxa"/>
          </w:tcPr>
          <w:p>
            <w:pPr>
              <w:pStyle w:val="14"/>
              <w:spacing w:before="36"/>
              <w:ind w:left="547" w:hanging="34"/>
              <w:rPr>
                <w:rFonts w:ascii="宋体"/>
                <w:sz w:val="20"/>
              </w:rPr>
            </w:pPr>
            <w:r>
              <w:rPr>
                <w:rFonts w:ascii="Times New Roman"/>
                <w:sz w:val="20"/>
              </w:rPr>
              <w:t>experiment evaluation</w:t>
            </w:r>
            <w:r>
              <w:rPr>
                <w:rFonts w:ascii="宋体"/>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trPr>
        <w:tc>
          <w:tcPr>
            <w:tcW w:w="968" w:type="dxa"/>
          </w:tcPr>
          <w:p>
            <w:pPr>
              <w:pStyle w:val="14"/>
              <w:rPr>
                <w:rFonts w:ascii="黑体"/>
                <w:sz w:val="24"/>
              </w:rPr>
            </w:pPr>
          </w:p>
          <w:p>
            <w:pPr>
              <w:pStyle w:val="14"/>
              <w:rPr>
                <w:rFonts w:ascii="黑体"/>
                <w:sz w:val="24"/>
              </w:rPr>
            </w:pPr>
          </w:p>
          <w:p>
            <w:pPr>
              <w:pStyle w:val="14"/>
              <w:rPr>
                <w:rFonts w:ascii="黑体"/>
                <w:sz w:val="24"/>
              </w:rPr>
            </w:pPr>
          </w:p>
          <w:p>
            <w:pPr>
              <w:pStyle w:val="14"/>
              <w:spacing w:before="173"/>
              <w:ind w:left="10"/>
              <w:jc w:val="center"/>
              <w:rPr>
                <w:sz w:val="24"/>
              </w:rPr>
            </w:pPr>
            <w:r>
              <w:rPr>
                <w:sz w:val="24"/>
              </w:rPr>
              <w:t>4</w:t>
            </w:r>
          </w:p>
        </w:tc>
        <w:tc>
          <w:tcPr>
            <w:tcW w:w="1175" w:type="dxa"/>
          </w:tcPr>
          <w:p>
            <w:pPr>
              <w:pStyle w:val="14"/>
              <w:rPr>
                <w:rFonts w:ascii="黑体"/>
                <w:sz w:val="24"/>
              </w:rPr>
            </w:pPr>
          </w:p>
          <w:p>
            <w:pPr>
              <w:pStyle w:val="14"/>
              <w:rPr>
                <w:rFonts w:ascii="黑体"/>
                <w:sz w:val="24"/>
              </w:rPr>
            </w:pPr>
          </w:p>
          <w:p>
            <w:pPr>
              <w:pStyle w:val="14"/>
              <w:rPr>
                <w:rFonts w:ascii="黑体"/>
                <w:sz w:val="24"/>
              </w:rPr>
            </w:pPr>
          </w:p>
          <w:p>
            <w:pPr>
              <w:pStyle w:val="14"/>
              <w:spacing w:before="173"/>
              <w:ind w:left="267" w:right="257"/>
              <w:jc w:val="center"/>
              <w:rPr>
                <w:sz w:val="24"/>
              </w:rPr>
            </w:pPr>
            <w:r>
              <w:rPr>
                <w:sz w:val="24"/>
              </w:rPr>
              <w:t>LO811</w:t>
            </w:r>
          </w:p>
        </w:tc>
        <w:tc>
          <w:tcPr>
            <w:tcW w:w="2470" w:type="dxa"/>
          </w:tcPr>
          <w:p>
            <w:pPr>
              <w:pStyle w:val="14"/>
              <w:spacing w:before="41"/>
              <w:ind w:left="108" w:right="160"/>
              <w:rPr>
                <w:rFonts w:ascii="Times New Roman" w:hAnsi="Times New Roman"/>
                <w:sz w:val="20"/>
              </w:rPr>
            </w:pPr>
            <w:r>
              <w:rPr>
                <w:rFonts w:ascii="Times New Roman" w:hAnsi="Times New Roman"/>
                <w:sz w:val="20"/>
              </w:rPr>
              <w:t>Comprehended countries background of economy and culture, understanding customers’real needs by collecting customers’information.Doi ngobjective marketing</w:t>
            </w:r>
          </w:p>
          <w:p>
            <w:pPr>
              <w:pStyle w:val="14"/>
              <w:ind w:left="108"/>
              <w:rPr>
                <w:rFonts w:ascii="宋体"/>
                <w:sz w:val="20"/>
              </w:rPr>
            </w:pPr>
            <w:r>
              <w:rPr>
                <w:rFonts w:ascii="Times New Roman"/>
                <w:sz w:val="20"/>
              </w:rPr>
              <w:t xml:space="preserve">research. </w:t>
            </w:r>
            <w:r>
              <w:rPr>
                <w:rFonts w:ascii="宋体"/>
                <w:sz w:val="20"/>
              </w:rPr>
              <w:t xml:space="preserve"> </w:t>
            </w:r>
          </w:p>
        </w:tc>
        <w:tc>
          <w:tcPr>
            <w:tcW w:w="1740" w:type="dxa"/>
          </w:tcPr>
          <w:p>
            <w:pPr>
              <w:pStyle w:val="14"/>
              <w:rPr>
                <w:rFonts w:ascii="黑体"/>
              </w:rPr>
            </w:pPr>
          </w:p>
          <w:p>
            <w:pPr>
              <w:pStyle w:val="14"/>
              <w:rPr>
                <w:rFonts w:ascii="黑体"/>
              </w:rPr>
            </w:pPr>
          </w:p>
          <w:p>
            <w:pPr>
              <w:pStyle w:val="14"/>
              <w:rPr>
                <w:rFonts w:ascii="黑体"/>
              </w:rPr>
            </w:pPr>
          </w:p>
          <w:p>
            <w:pPr>
              <w:pStyle w:val="14"/>
              <w:spacing w:before="5"/>
              <w:rPr>
                <w:rFonts w:ascii="黑体"/>
              </w:rPr>
            </w:pPr>
          </w:p>
          <w:p>
            <w:pPr>
              <w:pStyle w:val="14"/>
              <w:ind w:left="458"/>
              <w:rPr>
                <w:rFonts w:ascii="Times New Roman"/>
                <w:sz w:val="20"/>
              </w:rPr>
            </w:pPr>
            <w:r>
              <w:rPr>
                <w:rFonts w:ascii="Times New Roman"/>
                <w:sz w:val="20"/>
              </w:rPr>
              <w:t>Self-study</w:t>
            </w:r>
          </w:p>
        </w:tc>
        <w:tc>
          <w:tcPr>
            <w:tcW w:w="2122" w:type="dxa"/>
          </w:tcPr>
          <w:p>
            <w:pPr>
              <w:pStyle w:val="14"/>
              <w:rPr>
                <w:rFonts w:ascii="黑体"/>
              </w:rPr>
            </w:pPr>
          </w:p>
          <w:p>
            <w:pPr>
              <w:pStyle w:val="14"/>
              <w:rPr>
                <w:rFonts w:ascii="黑体"/>
              </w:rPr>
            </w:pPr>
          </w:p>
          <w:p>
            <w:pPr>
              <w:pStyle w:val="14"/>
              <w:spacing w:before="3"/>
              <w:rPr>
                <w:rFonts w:ascii="黑体"/>
                <w:sz w:val="32"/>
              </w:rPr>
            </w:pPr>
          </w:p>
          <w:p>
            <w:pPr>
              <w:pStyle w:val="14"/>
              <w:ind w:left="108" w:right="223"/>
              <w:rPr>
                <w:rFonts w:ascii="Times New Roman"/>
                <w:sz w:val="20"/>
              </w:rPr>
            </w:pPr>
            <w:r>
              <w:rPr>
                <w:rFonts w:ascii="Times New Roman"/>
                <w:sz w:val="20"/>
              </w:rPr>
              <w:t>Designing Oral and written report.</w:t>
            </w:r>
          </w:p>
        </w:tc>
      </w:tr>
    </w:tbl>
    <w:p>
      <w:pPr>
        <w:pStyle w:val="4"/>
        <w:rPr>
          <w:rFonts w:ascii="黑体"/>
          <w:sz w:val="24"/>
        </w:rPr>
      </w:pPr>
    </w:p>
    <w:p>
      <w:pPr>
        <w:spacing w:before="172"/>
        <w:ind w:left="1300"/>
        <w:rPr>
          <w:rFonts w:ascii="黑体" w:eastAsia="黑体"/>
          <w:sz w:val="24"/>
          <w:lang w:eastAsia="zh-CN"/>
        </w:rPr>
      </w:pPr>
      <w:r>
        <w:rPr>
          <w:rFonts w:hint="eastAsia" w:ascii="黑体" w:eastAsia="黑体"/>
          <w:sz w:val="24"/>
          <w:lang w:eastAsia="zh-CN"/>
        </w:rPr>
        <w:t>六、课程内容</w:t>
      </w:r>
    </w:p>
    <w:p>
      <w:pPr>
        <w:pStyle w:val="4"/>
        <w:spacing w:before="3"/>
        <w:rPr>
          <w:rFonts w:ascii="黑体" w:eastAsiaTheme="minorEastAsia"/>
          <w:sz w:val="35"/>
          <w:lang w:eastAsia="zh-CN"/>
        </w:rPr>
      </w:pPr>
    </w:p>
    <w:p>
      <w:pPr>
        <w:pStyle w:val="4"/>
        <w:spacing w:line="326" w:lineRule="auto"/>
        <w:ind w:left="940" w:right="955"/>
      </w:pPr>
      <w:r>
        <w:t>With 6 levels of Bloom cognitive ability: "know", "understanding", "use", "analysis", "comprehensive" and "evaluation" to express the requirements of students' learning differences.</w:t>
      </w:r>
    </w:p>
    <w:p>
      <w:pPr>
        <w:pStyle w:val="4"/>
        <w:spacing w:before="8"/>
        <w:rPr>
          <w:sz w:val="29"/>
        </w:rPr>
      </w:pPr>
    </w:p>
    <w:p>
      <w:pPr>
        <w:pStyle w:val="3"/>
        <w:spacing w:before="1"/>
      </w:pPr>
      <w:r>
        <w:t>Chapter One</w:t>
      </w:r>
    </w:p>
    <w:p>
      <w:pPr>
        <w:spacing w:before="144"/>
        <w:ind w:left="1340"/>
        <w:rPr>
          <w:b/>
          <w:sz w:val="20"/>
        </w:rPr>
      </w:pPr>
      <w:r>
        <w:rPr>
          <w:b/>
          <w:sz w:val="20"/>
        </w:rPr>
        <w:t>Part A A Brief Introduction to International Trade</w:t>
      </w:r>
    </w:p>
    <w:p>
      <w:pPr>
        <w:pStyle w:val="4"/>
        <w:spacing w:before="107"/>
        <w:ind w:left="1410"/>
      </w:pPr>
      <w:r>
        <w:rPr>
          <w:rFonts w:ascii="黑体" w:hAnsi="黑体"/>
          <w:sz w:val="24"/>
        </w:rPr>
        <w:t>▲</w:t>
      </w:r>
      <w:r>
        <w:t>Section one Reasons for International Trade</w:t>
      </w:r>
    </w:p>
    <w:p>
      <w:pPr>
        <w:pStyle w:val="4"/>
        <w:spacing w:before="67"/>
        <w:ind w:left="1420"/>
      </w:pPr>
      <w:r>
        <w:rPr>
          <w:rFonts w:ascii="黑体" w:hAnsi="黑体"/>
          <w:sz w:val="24"/>
        </w:rPr>
        <w:t>▲</w:t>
      </w:r>
      <w:r>
        <w:t>Section two Problems Concerning International Trade</w:t>
      </w:r>
    </w:p>
    <w:p>
      <w:pPr>
        <w:pStyle w:val="13"/>
        <w:numPr>
          <w:ilvl w:val="0"/>
          <w:numId w:val="3"/>
        </w:numPr>
        <w:tabs>
          <w:tab w:val="left" w:pos="1661"/>
        </w:tabs>
        <w:rPr>
          <w:sz w:val="20"/>
        </w:rPr>
      </w:pPr>
      <w:r>
        <w:rPr>
          <w:sz w:val="20"/>
        </w:rPr>
        <w:t>Section three Forms of International</w:t>
      </w:r>
      <w:r>
        <w:rPr>
          <w:spacing w:val="-2"/>
          <w:sz w:val="20"/>
        </w:rPr>
        <w:t xml:space="preserve"> </w:t>
      </w:r>
      <w:r>
        <w:rPr>
          <w:sz w:val="20"/>
        </w:rPr>
        <w:t>Trade</w:t>
      </w:r>
    </w:p>
    <w:p>
      <w:pPr>
        <w:pStyle w:val="4"/>
        <w:spacing w:line="416" w:lineRule="exact"/>
        <w:ind w:left="1420"/>
      </w:pPr>
      <w:r>
        <w:rPr>
          <w:rFonts w:hint="eastAsia" w:ascii="Source Han Sans HW" w:eastAsia="Source Han Sans HW"/>
          <w:b/>
          <w:sz w:val="24"/>
        </w:rPr>
        <w:t>＊</w:t>
      </w:r>
      <w:r>
        <w:t>Section four Cross-border E-Commerce</w:t>
      </w:r>
    </w:p>
    <w:p>
      <w:pPr>
        <w:ind w:left="650" w:right="-50" w:firstLine="770"/>
        <w:rPr>
          <w:rFonts w:eastAsia="仿宋_GB2312" w:cstheme="minorHAnsi"/>
          <w:bCs/>
          <w:szCs w:val="21"/>
          <w:lang w:eastAsia="zh-CN"/>
        </w:rPr>
      </w:pPr>
      <w:r>
        <w:rPr>
          <w:rFonts w:hint="eastAsia" w:eastAsia="仿宋_GB2312" w:cstheme="minorHAnsi"/>
          <w:bCs/>
          <w:szCs w:val="21"/>
          <w:lang w:eastAsia="zh-CN"/>
        </w:rPr>
        <w:t>思政：</w:t>
      </w:r>
    </w:p>
    <w:p>
      <w:pPr>
        <w:ind w:left="1420" w:right="-50" w:firstLine="20"/>
        <w:rPr>
          <w:rFonts w:ascii="仿宋_GB2312" w:hAnsi="宋体" w:eastAsia="仿宋_GB2312"/>
          <w:bCs/>
          <w:szCs w:val="21"/>
          <w:lang w:eastAsia="zh-CN"/>
        </w:rPr>
      </w:pPr>
      <w:r>
        <w:rPr>
          <w:rFonts w:hint="eastAsia" w:ascii="仿宋_GB2312" w:hAnsi="宋体" w:eastAsia="仿宋_GB2312"/>
          <w:bCs/>
          <w:szCs w:val="21"/>
          <w:lang w:eastAsia="zh-CN"/>
        </w:rPr>
        <w:t>通过观看“各国商品出口总额演变（1960-2017）”视频，讲述中国在国际贸易领域中的崛起，培养大国情怀和民族自豪感。</w:t>
      </w:r>
    </w:p>
    <w:p>
      <w:pPr>
        <w:pStyle w:val="3"/>
      </w:pPr>
      <w:r>
        <w:t>Chapter Two</w:t>
      </w:r>
    </w:p>
    <w:p>
      <w:pPr>
        <w:spacing w:before="144"/>
        <w:ind w:left="1340"/>
        <w:rPr>
          <w:b/>
          <w:sz w:val="20"/>
        </w:rPr>
      </w:pPr>
      <w:r>
        <w:rPr>
          <w:b/>
          <w:sz w:val="20"/>
        </w:rPr>
        <w:t>Part AGeneral Procedures of Export and Import Transaction</w:t>
      </w:r>
    </w:p>
    <w:p>
      <w:pPr>
        <w:pStyle w:val="4"/>
        <w:spacing w:before="108"/>
        <w:ind w:left="1420"/>
      </w:pPr>
      <w:r>
        <w:rPr>
          <w:rFonts w:ascii="黑体" w:hAnsi="黑体"/>
          <w:sz w:val="24"/>
        </w:rPr>
        <w:t>★</w:t>
      </w:r>
      <w:r>
        <w:t>Section One Procedures of Export and Import Transaction</w:t>
      </w:r>
    </w:p>
    <w:p>
      <w:pPr>
        <w:pStyle w:val="4"/>
        <w:spacing w:before="67"/>
        <w:ind w:left="1420"/>
      </w:pPr>
      <w:r>
        <w:rPr>
          <w:rFonts w:ascii="黑体" w:hAnsi="黑体"/>
          <w:sz w:val="24"/>
        </w:rPr>
        <w:t>★</w:t>
      </w:r>
      <w:r>
        <w:t>Section Two Business Negotiation</w:t>
      </w:r>
    </w:p>
    <w:p>
      <w:pPr>
        <w:pStyle w:val="13"/>
        <w:numPr>
          <w:ilvl w:val="0"/>
          <w:numId w:val="3"/>
        </w:numPr>
        <w:tabs>
          <w:tab w:val="left" w:pos="1661"/>
        </w:tabs>
        <w:spacing w:before="66" w:line="287" w:lineRule="exact"/>
        <w:rPr>
          <w:sz w:val="20"/>
        </w:rPr>
      </w:pPr>
      <w:r>
        <w:rPr>
          <w:sz w:val="20"/>
        </w:rPr>
        <w:t>Section Three Basic Qualities for Good</w:t>
      </w:r>
      <w:r>
        <w:rPr>
          <w:spacing w:val="-3"/>
          <w:sz w:val="20"/>
        </w:rPr>
        <w:t xml:space="preserve"> </w:t>
      </w:r>
      <w:r>
        <w:rPr>
          <w:sz w:val="20"/>
        </w:rPr>
        <w:t>Negotiation</w:t>
      </w:r>
    </w:p>
    <w:p>
      <w:pPr>
        <w:pStyle w:val="4"/>
        <w:spacing w:line="410" w:lineRule="exact"/>
        <w:ind w:left="1420"/>
      </w:pPr>
      <w:r>
        <w:rPr>
          <w:rFonts w:hint="eastAsia" w:ascii="Source Han Sans HW" w:eastAsia="Source Han Sans HW"/>
          <w:b/>
          <w:sz w:val="24"/>
        </w:rPr>
        <w:t>＊</w:t>
      </w:r>
      <w:r>
        <w:t>Section Four Procedures of Cross-border E-Commerce</w:t>
      </w:r>
    </w:p>
    <w:p>
      <w:pPr>
        <w:pStyle w:val="4"/>
        <w:spacing w:line="430" w:lineRule="exact"/>
        <w:ind w:left="1420"/>
        <w:rPr>
          <w:rFonts w:eastAsiaTheme="minorEastAsia"/>
          <w:lang w:eastAsia="zh-CN"/>
        </w:rPr>
      </w:pPr>
      <w:r>
        <w:rPr>
          <w:rFonts w:hint="eastAsia" w:ascii="Source Han Sans HW" w:eastAsia="Source Han Sans HW"/>
          <w:b/>
          <w:sz w:val="24"/>
        </w:rPr>
        <w:t>＊</w:t>
      </w:r>
      <w:r>
        <w:t>Section Five Policy Defects of Cross-border E-Commerce</w:t>
      </w:r>
    </w:p>
    <w:p>
      <w:pPr>
        <w:pStyle w:val="4"/>
        <w:spacing w:line="430" w:lineRule="exact"/>
        <w:ind w:left="700" w:firstLine="720"/>
        <w:rPr>
          <w:rFonts w:eastAsiaTheme="minorEastAsia"/>
          <w:u w:val="single"/>
          <w:lang w:eastAsia="zh-CN"/>
        </w:rPr>
      </w:pPr>
      <w:r>
        <w:rPr>
          <w:rFonts w:hint="eastAsia"/>
          <w:u w:val="single"/>
        </w:rPr>
        <w:t>Practice：case study</w:t>
      </w:r>
    </w:p>
    <w:p>
      <w:pPr>
        <w:ind w:left="650" w:right="-50" w:firstLine="770"/>
        <w:rPr>
          <w:rFonts w:eastAsia="仿宋_GB2312" w:cstheme="minorHAnsi"/>
          <w:bCs/>
          <w:szCs w:val="21"/>
          <w:lang w:eastAsia="zh-CN"/>
        </w:rPr>
      </w:pPr>
      <w:r>
        <w:rPr>
          <w:rFonts w:hint="eastAsia" w:eastAsia="仿宋_GB2312" w:cstheme="minorHAnsi"/>
          <w:bCs/>
          <w:szCs w:val="21"/>
          <w:lang w:eastAsia="zh-CN"/>
        </w:rPr>
        <w:t>思政：</w:t>
      </w:r>
    </w:p>
    <w:p>
      <w:pPr>
        <w:ind w:left="650" w:right="-50" w:firstLine="770"/>
        <w:rPr>
          <w:rFonts w:ascii="仿宋_GB2312" w:hAnsi="宋体" w:eastAsia="仿宋_GB2312"/>
          <w:bCs/>
          <w:szCs w:val="21"/>
          <w:lang w:eastAsia="zh-CN"/>
        </w:rPr>
      </w:pPr>
      <w:r>
        <w:rPr>
          <w:rFonts w:hint="eastAsia" w:eastAsia="仿宋_GB2312" w:cstheme="minorHAnsi"/>
          <w:bCs/>
          <w:szCs w:val="21"/>
          <w:lang w:eastAsia="zh-CN"/>
        </w:rPr>
        <w:t>通过案例反面例子的分析，对学生进行贸易谈判中“诚信”品质宣传。</w:t>
      </w:r>
    </w:p>
    <w:p>
      <w:pPr>
        <w:pStyle w:val="4"/>
        <w:spacing w:line="430" w:lineRule="exact"/>
        <w:ind w:left="700" w:firstLine="720"/>
        <w:rPr>
          <w:rFonts w:eastAsiaTheme="minorEastAsia"/>
          <w:lang w:eastAsia="zh-CN"/>
        </w:rPr>
      </w:pPr>
    </w:p>
    <w:p>
      <w:pPr>
        <w:pStyle w:val="3"/>
      </w:pPr>
      <w:r>
        <w:t>Chapter Three</w:t>
      </w:r>
    </w:p>
    <w:p>
      <w:pPr>
        <w:spacing w:before="145"/>
        <w:ind w:left="1340"/>
        <w:rPr>
          <w:b/>
          <w:sz w:val="20"/>
        </w:rPr>
      </w:pPr>
      <w:r>
        <w:rPr>
          <w:b/>
          <w:sz w:val="20"/>
        </w:rPr>
        <w:t>Part A Contracts for the sale and purchase of International Commodity</w:t>
      </w:r>
    </w:p>
    <w:p>
      <w:pPr>
        <w:pStyle w:val="4"/>
        <w:spacing w:before="107"/>
        <w:ind w:left="1420"/>
      </w:pPr>
      <w:r>
        <w:rPr>
          <w:rFonts w:ascii="黑体" w:hAnsi="黑体"/>
          <w:sz w:val="24"/>
        </w:rPr>
        <w:t>▲</w:t>
      </w:r>
      <w:r>
        <w:t>Section One Definition of Contract</w:t>
      </w:r>
    </w:p>
    <w:p>
      <w:pPr>
        <w:pStyle w:val="13"/>
        <w:numPr>
          <w:ilvl w:val="0"/>
          <w:numId w:val="3"/>
        </w:numPr>
        <w:tabs>
          <w:tab w:val="left" w:pos="1661"/>
        </w:tabs>
        <w:rPr>
          <w:sz w:val="20"/>
        </w:rPr>
      </w:pPr>
      <w:r>
        <w:rPr>
          <w:sz w:val="20"/>
        </w:rPr>
        <w:t>Section Two Formation of</w:t>
      </w:r>
      <w:r>
        <w:rPr>
          <w:spacing w:val="-2"/>
          <w:sz w:val="20"/>
        </w:rPr>
        <w:t xml:space="preserve"> </w:t>
      </w:r>
      <w:r>
        <w:rPr>
          <w:sz w:val="20"/>
        </w:rPr>
        <w:t>Contract</w:t>
      </w:r>
    </w:p>
    <w:p>
      <w:pPr>
        <w:pStyle w:val="4"/>
        <w:spacing w:before="67" w:line="287" w:lineRule="exact"/>
        <w:ind w:left="1420"/>
      </w:pPr>
      <w:r>
        <w:rPr>
          <w:rFonts w:ascii="黑体" w:hAnsi="黑体"/>
          <w:sz w:val="24"/>
        </w:rPr>
        <w:t>★</w:t>
      </w:r>
      <w:r>
        <w:t>Section Three Performance of Contract</w:t>
      </w:r>
    </w:p>
    <w:p>
      <w:pPr>
        <w:pStyle w:val="4"/>
        <w:spacing w:line="465" w:lineRule="exact"/>
        <w:ind w:left="1420"/>
        <w:rPr>
          <w:rFonts w:eastAsiaTheme="minorEastAsia"/>
          <w:lang w:eastAsia="zh-CN"/>
        </w:rPr>
      </w:pPr>
      <w:r>
        <w:rPr>
          <w:rFonts w:hint="eastAsia" w:ascii="Source Han Sans HW" w:eastAsia="Source Han Sans HW"/>
          <w:b/>
          <w:sz w:val="24"/>
        </w:rPr>
        <w:t>＊</w:t>
      </w:r>
      <w:r>
        <w:t>Section Four Components of typical successful Cross-border E-commerce</w:t>
      </w:r>
    </w:p>
    <w:p>
      <w:pPr>
        <w:pStyle w:val="4"/>
        <w:spacing w:before="67" w:line="321" w:lineRule="auto"/>
        <w:ind w:left="1420" w:right="4385"/>
        <w:rPr>
          <w:rFonts w:eastAsiaTheme="minorEastAsia"/>
          <w:u w:val="single"/>
          <w:lang w:eastAsia="zh-CN"/>
        </w:rPr>
      </w:pPr>
      <w:r>
        <w:rPr>
          <w:rFonts w:hint="eastAsia"/>
          <w:u w:val="single"/>
        </w:rPr>
        <w:t>Practice：</w:t>
      </w:r>
      <w:r>
        <w:rPr>
          <w:rFonts w:hint="eastAsia" w:eastAsiaTheme="minorEastAsia"/>
          <w:u w:val="single"/>
          <w:lang w:eastAsia="zh-CN"/>
        </w:rPr>
        <w:t xml:space="preserve">Production of Contract </w:t>
      </w:r>
    </w:p>
    <w:p>
      <w:pPr>
        <w:autoSpaceDE/>
        <w:autoSpaceDN/>
        <w:ind w:left="650" w:right="-50" w:firstLine="770"/>
        <w:jc w:val="both"/>
        <w:rPr>
          <w:rFonts w:ascii="Calibri" w:hAnsi="Calibri" w:eastAsia="仿宋_GB2312" w:cs="Calibri"/>
          <w:bCs/>
          <w:kern w:val="2"/>
          <w:sz w:val="21"/>
          <w:szCs w:val="21"/>
          <w:lang w:eastAsia="zh-CN" w:bidi="ar-SA"/>
        </w:rPr>
      </w:pPr>
      <w:r>
        <w:rPr>
          <w:rFonts w:hint="eastAsia" w:ascii="Calibri" w:hAnsi="Calibri" w:eastAsia="仿宋_GB2312" w:cs="Calibri"/>
          <w:bCs/>
          <w:kern w:val="2"/>
          <w:sz w:val="21"/>
          <w:szCs w:val="21"/>
          <w:lang w:eastAsia="zh-CN" w:bidi="ar-SA"/>
        </w:rPr>
        <w:t>思政：</w:t>
      </w:r>
    </w:p>
    <w:p>
      <w:pPr>
        <w:pStyle w:val="4"/>
        <w:spacing w:line="430" w:lineRule="exact"/>
        <w:ind w:left="700" w:firstLine="720"/>
        <w:rPr>
          <w:rFonts w:eastAsia="仿宋_GB2312" w:cstheme="minorHAnsi"/>
          <w:bCs/>
          <w:szCs w:val="21"/>
          <w:lang w:eastAsia="zh-CN"/>
        </w:rPr>
      </w:pPr>
      <w:r>
        <w:rPr>
          <w:rFonts w:hint="eastAsia" w:eastAsia="仿宋_GB2312" w:cstheme="minorHAnsi"/>
          <w:bCs/>
          <w:szCs w:val="21"/>
          <w:lang w:eastAsia="zh-CN"/>
        </w:rPr>
        <w:t>出口贸易中的商品质量“诚信”问题，订立合同中“公平”问题。</w:t>
      </w:r>
    </w:p>
    <w:p>
      <w:pPr>
        <w:pStyle w:val="4"/>
        <w:spacing w:line="430" w:lineRule="exact"/>
        <w:ind w:left="700" w:firstLine="720"/>
        <w:rPr>
          <w:rFonts w:eastAsiaTheme="minorEastAsia"/>
          <w:lang w:eastAsia="zh-CN"/>
        </w:rPr>
      </w:pPr>
    </w:p>
    <w:p>
      <w:pPr>
        <w:pStyle w:val="3"/>
      </w:pPr>
      <w:r>
        <w:t>Chapter Four</w:t>
      </w:r>
    </w:p>
    <w:p>
      <w:pPr>
        <w:spacing w:before="145"/>
        <w:ind w:left="1340"/>
        <w:rPr>
          <w:b/>
          <w:sz w:val="20"/>
        </w:rPr>
      </w:pPr>
      <w:r>
        <w:rPr>
          <w:b/>
          <w:sz w:val="20"/>
        </w:rPr>
        <w:t>Part A Trade Terms</w:t>
      </w:r>
    </w:p>
    <w:p>
      <w:pPr>
        <w:pStyle w:val="13"/>
        <w:numPr>
          <w:ilvl w:val="0"/>
          <w:numId w:val="3"/>
        </w:numPr>
        <w:tabs>
          <w:tab w:val="left" w:pos="1661"/>
        </w:tabs>
        <w:spacing w:before="107"/>
        <w:rPr>
          <w:sz w:val="20"/>
        </w:rPr>
      </w:pPr>
      <w:r>
        <w:rPr>
          <w:sz w:val="20"/>
        </w:rPr>
        <w:t>Section One Components of Trade</w:t>
      </w:r>
      <w:r>
        <w:rPr>
          <w:spacing w:val="-2"/>
          <w:sz w:val="20"/>
        </w:rPr>
        <w:t xml:space="preserve"> </w:t>
      </w:r>
      <w:r>
        <w:rPr>
          <w:sz w:val="20"/>
        </w:rPr>
        <w:t>Terms</w:t>
      </w:r>
    </w:p>
    <w:p>
      <w:pPr>
        <w:pStyle w:val="4"/>
        <w:spacing w:before="67"/>
        <w:ind w:left="1420"/>
      </w:pPr>
      <w:r>
        <w:rPr>
          <w:rFonts w:ascii="黑体" w:hAnsi="黑体"/>
          <w:sz w:val="24"/>
        </w:rPr>
        <w:t>★</w:t>
      </w:r>
      <w:r>
        <w:t>Section Two Incoterms</w:t>
      </w:r>
    </w:p>
    <w:p>
      <w:pPr>
        <w:pStyle w:val="4"/>
        <w:spacing w:before="67"/>
        <w:ind w:left="1420"/>
      </w:pPr>
      <w:r>
        <w:rPr>
          <w:rFonts w:ascii="黑体" w:hAnsi="黑体"/>
          <w:sz w:val="24"/>
        </w:rPr>
        <w:t>★</w:t>
      </w:r>
      <w:r>
        <w:t>Section Three Six Main Trade Terms in Incoterms 2010</w:t>
      </w:r>
    </w:p>
    <w:p>
      <w:pPr>
        <w:pStyle w:val="4"/>
        <w:spacing w:line="430" w:lineRule="exact"/>
        <w:ind w:left="700" w:firstLine="720"/>
        <w:rPr>
          <w:rFonts w:eastAsiaTheme="minorEastAsia"/>
          <w:lang w:eastAsia="zh-CN"/>
        </w:rPr>
      </w:pPr>
      <w:r>
        <w:rPr>
          <w:rFonts w:ascii="黑体" w:hAnsi="黑体"/>
          <w:sz w:val="24"/>
        </w:rPr>
        <w:t>▲</w:t>
      </w:r>
      <w:r>
        <w:t>Section Four EXW and FAS in Incoterms 2010</w:t>
      </w:r>
    </w:p>
    <w:p>
      <w:pPr>
        <w:pStyle w:val="4"/>
        <w:spacing w:line="430" w:lineRule="exact"/>
        <w:ind w:left="700" w:firstLine="720"/>
        <w:rPr>
          <w:rFonts w:eastAsiaTheme="minorEastAsia"/>
          <w:u w:val="single"/>
          <w:lang w:eastAsia="zh-CN"/>
        </w:rPr>
      </w:pPr>
      <w:r>
        <w:rPr>
          <w:rFonts w:hint="eastAsia"/>
          <w:u w:val="single"/>
        </w:rPr>
        <w:t>Practice：case study</w:t>
      </w:r>
    </w:p>
    <w:p>
      <w:pPr>
        <w:ind w:left="650" w:right="-50" w:firstLine="770"/>
        <w:rPr>
          <w:rFonts w:eastAsia="仿宋_GB2312" w:cstheme="minorHAnsi"/>
          <w:bCs/>
          <w:szCs w:val="21"/>
        </w:rPr>
      </w:pPr>
      <w:r>
        <w:rPr>
          <w:rFonts w:hint="eastAsia" w:eastAsia="仿宋_GB2312" w:cstheme="minorHAnsi"/>
          <w:bCs/>
          <w:szCs w:val="21"/>
        </w:rPr>
        <w:t>思政：</w:t>
      </w:r>
    </w:p>
    <w:p>
      <w:pPr>
        <w:pStyle w:val="4"/>
        <w:spacing w:before="67"/>
        <w:ind w:left="1420"/>
        <w:rPr>
          <w:rFonts w:eastAsia="仿宋_GB2312" w:cstheme="minorHAnsi"/>
          <w:bCs/>
          <w:szCs w:val="21"/>
          <w:lang w:eastAsia="zh-CN"/>
        </w:rPr>
      </w:pPr>
      <w:r>
        <w:rPr>
          <w:rFonts w:hint="eastAsia" w:eastAsia="仿宋_GB2312" w:cstheme="minorHAnsi"/>
          <w:bCs/>
          <w:szCs w:val="21"/>
          <w:lang w:eastAsia="zh-CN"/>
        </w:rPr>
        <w:t>以课本练习题中的反例为例，强调国土完整，培养家国情怀。</w:t>
      </w:r>
    </w:p>
    <w:p>
      <w:pPr>
        <w:pStyle w:val="4"/>
        <w:spacing w:before="67"/>
        <w:ind w:left="1420"/>
        <w:rPr>
          <w:lang w:eastAsia="zh-CN"/>
        </w:rPr>
      </w:pPr>
    </w:p>
    <w:p>
      <w:pPr>
        <w:pStyle w:val="3"/>
        <w:spacing w:before="103"/>
      </w:pPr>
      <w:r>
        <w:t>Chapter Five</w:t>
      </w:r>
    </w:p>
    <w:p>
      <w:pPr>
        <w:spacing w:before="145"/>
        <w:ind w:left="1340"/>
        <w:rPr>
          <w:b/>
          <w:sz w:val="20"/>
        </w:rPr>
      </w:pPr>
      <w:r>
        <w:rPr>
          <w:b/>
          <w:sz w:val="20"/>
        </w:rPr>
        <w:t>Part A Quality of Commodity</w:t>
      </w:r>
    </w:p>
    <w:p>
      <w:pPr>
        <w:pStyle w:val="4"/>
        <w:spacing w:before="107"/>
        <w:ind w:left="1420"/>
      </w:pPr>
      <w:r>
        <w:rPr>
          <w:rFonts w:ascii="黑体" w:hAnsi="黑体"/>
          <w:sz w:val="24"/>
        </w:rPr>
        <w:t>★</w:t>
      </w:r>
      <w:r>
        <w:t>Section One Methods of Stipulating Quality of Commodity</w:t>
      </w:r>
    </w:p>
    <w:p>
      <w:pPr>
        <w:pStyle w:val="4"/>
        <w:spacing w:before="67"/>
        <w:ind w:left="1420"/>
      </w:pPr>
      <w:r>
        <w:rPr>
          <w:rFonts w:ascii="黑体" w:hAnsi="黑体"/>
          <w:sz w:val="24"/>
        </w:rPr>
        <w:t>▲</w:t>
      </w:r>
      <w:r>
        <w:t>Section Two Quality Latitude &amp; Quality Tolerance</w:t>
      </w:r>
    </w:p>
    <w:p>
      <w:pPr>
        <w:pStyle w:val="13"/>
        <w:numPr>
          <w:ilvl w:val="0"/>
          <w:numId w:val="3"/>
        </w:numPr>
        <w:tabs>
          <w:tab w:val="left" w:pos="1661"/>
        </w:tabs>
        <w:rPr>
          <w:sz w:val="20"/>
        </w:rPr>
      </w:pPr>
      <w:r>
        <w:rPr>
          <w:sz w:val="20"/>
        </w:rPr>
        <w:t>Section Three Examples of Quality Clauses in</w:t>
      </w:r>
      <w:r>
        <w:rPr>
          <w:spacing w:val="-6"/>
          <w:sz w:val="20"/>
        </w:rPr>
        <w:t xml:space="preserve"> </w:t>
      </w:r>
      <w:r>
        <w:rPr>
          <w:sz w:val="20"/>
        </w:rPr>
        <w:t>Contract</w:t>
      </w:r>
    </w:p>
    <w:p>
      <w:pPr>
        <w:pStyle w:val="13"/>
        <w:numPr>
          <w:ilvl w:val="0"/>
          <w:numId w:val="3"/>
        </w:numPr>
        <w:tabs>
          <w:tab w:val="left" w:pos="1661"/>
        </w:tabs>
        <w:rPr>
          <w:sz w:val="20"/>
        </w:rPr>
      </w:pPr>
      <w:r>
        <w:rPr>
          <w:sz w:val="20"/>
        </w:rPr>
        <w:t>Section Four General Catalogue of E-commerce</w:t>
      </w:r>
      <w:r>
        <w:rPr>
          <w:spacing w:val="-4"/>
          <w:sz w:val="20"/>
        </w:rPr>
        <w:t xml:space="preserve"> </w:t>
      </w:r>
      <w:r>
        <w:rPr>
          <w:sz w:val="20"/>
        </w:rPr>
        <w:t>Platform</w:t>
      </w:r>
    </w:p>
    <w:p>
      <w:pPr>
        <w:pStyle w:val="4"/>
        <w:spacing w:before="67" w:line="321" w:lineRule="auto"/>
        <w:ind w:left="1420" w:right="4385"/>
        <w:rPr>
          <w:rFonts w:eastAsiaTheme="minorEastAsia"/>
          <w:u w:val="single"/>
          <w:lang w:eastAsia="zh-CN"/>
        </w:rPr>
      </w:pPr>
      <w:r>
        <w:rPr>
          <w:rFonts w:hint="eastAsia"/>
          <w:u w:val="single"/>
        </w:rPr>
        <w:t>Practice</w:t>
      </w:r>
      <w:r>
        <w:rPr>
          <w:rFonts w:hint="eastAsia" w:ascii="宋体" w:hAnsi="宋体" w:eastAsia="宋体" w:cs="宋体"/>
          <w:u w:val="single"/>
        </w:rPr>
        <w:t>：</w:t>
      </w:r>
      <w:r>
        <w:rPr>
          <w:u w:val="single"/>
        </w:rPr>
        <w:t>case stud</w:t>
      </w:r>
      <w:r>
        <w:rPr>
          <w:rFonts w:hint="eastAsia"/>
          <w:u w:val="single"/>
        </w:rPr>
        <w:t>y</w:t>
      </w:r>
    </w:p>
    <w:p>
      <w:pPr>
        <w:ind w:left="650" w:right="-50" w:firstLine="770"/>
        <w:rPr>
          <w:rFonts w:eastAsia="仿宋_GB2312" w:cstheme="minorHAnsi"/>
          <w:bCs/>
          <w:szCs w:val="21"/>
        </w:rPr>
      </w:pPr>
      <w:r>
        <w:rPr>
          <w:rFonts w:hint="eastAsia" w:eastAsia="仿宋_GB2312" w:cstheme="minorHAnsi"/>
          <w:bCs/>
          <w:szCs w:val="21"/>
        </w:rPr>
        <w:t>思政：</w:t>
      </w:r>
    </w:p>
    <w:p>
      <w:pPr>
        <w:ind w:left="700" w:right="-50" w:firstLine="720"/>
        <w:rPr>
          <w:rFonts w:eastAsia="仿宋_GB2312" w:cstheme="minorHAnsi"/>
          <w:bCs/>
          <w:szCs w:val="21"/>
        </w:rPr>
      </w:pPr>
      <w:r>
        <w:rPr>
          <w:rFonts w:hint="eastAsia" w:eastAsia="仿宋_GB2312" w:cstheme="minorHAnsi"/>
          <w:bCs/>
          <w:szCs w:val="21"/>
        </w:rPr>
        <w:t>通过对课本错误内容的纠正，培养学生critical thinking的能力和探索的精神。</w:t>
      </w:r>
    </w:p>
    <w:p>
      <w:pPr>
        <w:pStyle w:val="4"/>
        <w:spacing w:before="67" w:line="321" w:lineRule="auto"/>
        <w:ind w:left="1420" w:right="4385"/>
        <w:rPr>
          <w:rFonts w:eastAsiaTheme="minorEastAsia"/>
          <w:lang w:eastAsia="zh-CN"/>
        </w:rPr>
      </w:pPr>
    </w:p>
    <w:p>
      <w:pPr>
        <w:pStyle w:val="3"/>
        <w:spacing w:before="104"/>
      </w:pPr>
      <w:r>
        <w:t>Chapter Six</w:t>
      </w:r>
    </w:p>
    <w:p>
      <w:pPr>
        <w:spacing w:before="144"/>
        <w:ind w:left="1340"/>
        <w:rPr>
          <w:b/>
          <w:sz w:val="20"/>
        </w:rPr>
      </w:pPr>
      <w:r>
        <w:rPr>
          <w:b/>
          <w:sz w:val="20"/>
        </w:rPr>
        <w:t>Part A Quantity of Goods</w:t>
      </w:r>
    </w:p>
    <w:p>
      <w:pPr>
        <w:pStyle w:val="4"/>
        <w:spacing w:before="108"/>
        <w:ind w:left="1420"/>
      </w:pPr>
      <w:r>
        <w:rPr>
          <w:rFonts w:ascii="黑体" w:hAnsi="黑体"/>
          <w:sz w:val="24"/>
        </w:rPr>
        <w:t>▲</w:t>
      </w:r>
      <w:r>
        <w:t>Section One Calculating units of the goods quantity</w:t>
      </w:r>
    </w:p>
    <w:p>
      <w:pPr>
        <w:pStyle w:val="4"/>
        <w:spacing w:before="67" w:line="321" w:lineRule="auto"/>
        <w:ind w:left="1420" w:right="4385"/>
        <w:rPr>
          <w:rFonts w:eastAsiaTheme="minorEastAsia"/>
          <w:lang w:eastAsia="zh-CN"/>
        </w:rPr>
      </w:pPr>
      <w:r>
        <w:rPr>
          <w:rFonts w:ascii="黑体" w:hAnsi="黑体"/>
          <w:sz w:val="24"/>
        </w:rPr>
        <w:t>▲</w:t>
      </w:r>
      <w:r>
        <w:t xml:space="preserve">Section Two Methods of calculating weight </w:t>
      </w:r>
      <w:r>
        <w:rPr>
          <w:rFonts w:ascii="黑体" w:hAnsi="黑体"/>
          <w:sz w:val="24"/>
        </w:rPr>
        <w:t>▲</w:t>
      </w:r>
      <w:r>
        <w:t>Section Three Quantity Terms in the</w:t>
      </w:r>
      <w:r>
        <w:rPr>
          <w:rFonts w:hint="eastAsia" w:eastAsiaTheme="minorEastAsia"/>
          <w:lang w:eastAsia="zh-CN"/>
        </w:rPr>
        <w:t xml:space="preserve"> Contract</w:t>
      </w:r>
    </w:p>
    <w:p>
      <w:pPr>
        <w:pStyle w:val="4"/>
        <w:spacing w:before="67" w:line="321" w:lineRule="auto"/>
        <w:ind w:left="1420" w:right="4385"/>
        <w:rPr>
          <w:rFonts w:eastAsiaTheme="minorEastAsia"/>
          <w:u w:val="single"/>
          <w:lang w:eastAsia="zh-CN"/>
        </w:rPr>
      </w:pPr>
      <w:r>
        <w:rPr>
          <w:rFonts w:hint="eastAsia"/>
          <w:u w:val="single"/>
        </w:rPr>
        <w:t>Practice：case study</w:t>
      </w:r>
    </w:p>
    <w:p>
      <w:pPr>
        <w:ind w:left="650" w:right="-50" w:firstLine="770"/>
        <w:rPr>
          <w:rFonts w:eastAsia="仿宋_GB2312" w:cstheme="minorHAnsi"/>
          <w:bCs/>
          <w:szCs w:val="21"/>
          <w:lang w:eastAsia="zh-CN"/>
        </w:rPr>
      </w:pPr>
      <w:r>
        <w:rPr>
          <w:rFonts w:hint="eastAsia" w:eastAsia="仿宋_GB2312" w:cstheme="minorHAnsi"/>
          <w:bCs/>
          <w:szCs w:val="21"/>
        </w:rPr>
        <w:t>思政：</w:t>
      </w:r>
    </w:p>
    <w:p>
      <w:pPr>
        <w:ind w:left="650" w:right="-50" w:firstLine="770"/>
        <w:rPr>
          <w:rFonts w:eastAsia="仿宋_GB2312" w:cstheme="minorHAnsi"/>
          <w:bCs/>
          <w:szCs w:val="21"/>
          <w:lang w:eastAsia="zh-CN"/>
        </w:rPr>
      </w:pPr>
      <w:r>
        <w:rPr>
          <w:rFonts w:hint="eastAsia" w:eastAsia="仿宋_GB2312" w:cstheme="minorHAnsi"/>
          <w:bCs/>
          <w:szCs w:val="21"/>
          <w:lang w:eastAsia="zh-CN"/>
        </w:rPr>
        <w:t>通过不同度量衡制度的学习，讲解文化习惯差异，培养学生的国际视野。</w:t>
      </w:r>
    </w:p>
    <w:p>
      <w:pPr>
        <w:ind w:left="650" w:right="-50" w:firstLine="770"/>
        <w:rPr>
          <w:rFonts w:eastAsia="仿宋_GB2312" w:cstheme="minorHAnsi"/>
          <w:bCs/>
          <w:szCs w:val="21"/>
          <w:lang w:eastAsia="zh-CN"/>
        </w:rPr>
      </w:pPr>
    </w:p>
    <w:p>
      <w:pPr>
        <w:pStyle w:val="3"/>
        <w:spacing w:before="65"/>
      </w:pPr>
      <w:r>
        <w:t>Chapter Seven</w:t>
      </w:r>
    </w:p>
    <w:p>
      <w:pPr>
        <w:spacing w:before="144"/>
        <w:ind w:left="1340"/>
        <w:rPr>
          <w:b/>
          <w:sz w:val="20"/>
        </w:rPr>
      </w:pPr>
      <w:r>
        <w:rPr>
          <w:b/>
          <w:sz w:val="20"/>
        </w:rPr>
        <w:t>Part A Packing and Marking of</w:t>
      </w:r>
      <w:r>
        <w:rPr>
          <w:b/>
          <w:spacing w:val="-3"/>
          <w:sz w:val="20"/>
        </w:rPr>
        <w:t xml:space="preserve"> </w:t>
      </w:r>
      <w:r>
        <w:rPr>
          <w:b/>
          <w:sz w:val="20"/>
        </w:rPr>
        <w:t>Goods.</w:t>
      </w:r>
    </w:p>
    <w:p>
      <w:pPr>
        <w:pStyle w:val="4"/>
        <w:spacing w:before="108"/>
        <w:ind w:left="1420"/>
      </w:pPr>
      <w:r>
        <w:rPr>
          <w:rFonts w:ascii="黑体" w:hAnsi="黑体"/>
          <w:sz w:val="24"/>
        </w:rPr>
        <w:t>★</w:t>
      </w:r>
      <w:r>
        <w:t>Section One The Function of</w:t>
      </w:r>
      <w:r>
        <w:rPr>
          <w:spacing w:val="-23"/>
        </w:rPr>
        <w:t xml:space="preserve"> </w:t>
      </w:r>
      <w:r>
        <w:t>Packing</w:t>
      </w:r>
    </w:p>
    <w:p>
      <w:pPr>
        <w:pStyle w:val="13"/>
        <w:numPr>
          <w:ilvl w:val="0"/>
          <w:numId w:val="3"/>
        </w:numPr>
        <w:tabs>
          <w:tab w:val="left" w:pos="1661"/>
        </w:tabs>
        <w:rPr>
          <w:sz w:val="20"/>
        </w:rPr>
      </w:pPr>
      <w:r>
        <w:rPr>
          <w:sz w:val="20"/>
        </w:rPr>
        <w:t>Section Two Kinds of</w:t>
      </w:r>
      <w:r>
        <w:rPr>
          <w:spacing w:val="-2"/>
          <w:sz w:val="20"/>
        </w:rPr>
        <w:t xml:space="preserve"> </w:t>
      </w:r>
      <w:r>
        <w:rPr>
          <w:sz w:val="20"/>
        </w:rPr>
        <w:t>Packing</w:t>
      </w:r>
    </w:p>
    <w:p>
      <w:pPr>
        <w:pStyle w:val="13"/>
        <w:numPr>
          <w:ilvl w:val="0"/>
          <w:numId w:val="3"/>
        </w:numPr>
        <w:tabs>
          <w:tab w:val="left" w:pos="1661"/>
        </w:tabs>
        <w:rPr>
          <w:sz w:val="20"/>
        </w:rPr>
      </w:pPr>
      <w:r>
        <w:rPr>
          <w:sz w:val="20"/>
        </w:rPr>
        <w:t>Section Three Marking of</w:t>
      </w:r>
      <w:r>
        <w:rPr>
          <w:spacing w:val="-2"/>
          <w:sz w:val="20"/>
        </w:rPr>
        <w:t xml:space="preserve"> </w:t>
      </w:r>
      <w:r>
        <w:rPr>
          <w:sz w:val="20"/>
        </w:rPr>
        <w:t>Package</w:t>
      </w:r>
    </w:p>
    <w:p>
      <w:pPr>
        <w:pStyle w:val="4"/>
        <w:spacing w:before="67"/>
        <w:ind w:left="1420"/>
        <w:rPr>
          <w:rFonts w:eastAsiaTheme="minorEastAsia"/>
          <w:lang w:eastAsia="zh-CN"/>
        </w:rPr>
      </w:pPr>
      <w:r>
        <w:rPr>
          <w:rFonts w:ascii="黑体" w:hAnsi="黑体"/>
          <w:sz w:val="24"/>
        </w:rPr>
        <w:t>▲</w:t>
      </w:r>
      <w:r>
        <w:t>Section Four Factors Influencing Types of Cargo Packing</w:t>
      </w:r>
    </w:p>
    <w:p>
      <w:pPr>
        <w:pStyle w:val="4"/>
        <w:spacing w:before="67"/>
        <w:ind w:left="1420"/>
        <w:rPr>
          <w:rFonts w:eastAsiaTheme="minorEastAsia"/>
          <w:lang w:eastAsia="zh-CN"/>
        </w:rPr>
      </w:pPr>
      <w:r>
        <w:rPr>
          <w:rFonts w:ascii="黑体" w:hAnsi="黑体"/>
          <w:sz w:val="24"/>
        </w:rPr>
        <w:t>▲</w:t>
      </w:r>
      <w:r>
        <w:t>Section Five Elements Concerning Cross-border E-Commodity Packaging</w:t>
      </w:r>
    </w:p>
    <w:p>
      <w:pPr>
        <w:pStyle w:val="4"/>
        <w:spacing w:before="67" w:line="321" w:lineRule="auto"/>
        <w:ind w:left="1420" w:right="4385"/>
        <w:rPr>
          <w:rFonts w:eastAsiaTheme="minorEastAsia"/>
          <w:u w:val="single"/>
          <w:lang w:eastAsia="zh-CN"/>
        </w:rPr>
      </w:pPr>
      <w:r>
        <w:rPr>
          <w:rFonts w:hint="eastAsia"/>
          <w:u w:val="single"/>
        </w:rPr>
        <w:t>Practice：case study</w:t>
      </w:r>
    </w:p>
    <w:p>
      <w:pPr>
        <w:ind w:left="650" w:right="-50" w:firstLine="770"/>
        <w:rPr>
          <w:rFonts w:eastAsia="仿宋_GB2312" w:cstheme="minorHAnsi"/>
          <w:bCs/>
          <w:szCs w:val="21"/>
          <w:lang w:eastAsia="zh-CN"/>
        </w:rPr>
      </w:pPr>
      <w:r>
        <w:rPr>
          <w:rFonts w:hint="eastAsia" w:eastAsia="仿宋_GB2312" w:cstheme="minorHAnsi"/>
          <w:bCs/>
          <w:szCs w:val="21"/>
        </w:rPr>
        <w:t>思政：</w:t>
      </w:r>
    </w:p>
    <w:p>
      <w:pPr>
        <w:ind w:left="1420" w:right="-50"/>
        <w:rPr>
          <w:rFonts w:eastAsia="仿宋_GB2312" w:cstheme="minorHAnsi"/>
          <w:bCs/>
          <w:szCs w:val="21"/>
          <w:lang w:eastAsia="zh-CN"/>
        </w:rPr>
      </w:pPr>
      <w:r>
        <w:rPr>
          <w:rFonts w:hint="eastAsia" w:eastAsia="仿宋_GB2312" w:cstheme="minorHAnsi"/>
          <w:bCs/>
          <w:szCs w:val="21"/>
          <w:lang w:eastAsia="zh-CN"/>
        </w:rPr>
        <w:t>通过对不同类型container的介绍并抛出问题，培养学生思辨能力，引导学生对知识的探索。</w:t>
      </w:r>
    </w:p>
    <w:p>
      <w:pPr>
        <w:ind w:left="1420" w:right="-50"/>
        <w:rPr>
          <w:rFonts w:eastAsia="仿宋_GB2312" w:cstheme="minorHAnsi"/>
          <w:bCs/>
          <w:szCs w:val="21"/>
          <w:lang w:eastAsia="zh-CN"/>
        </w:rPr>
      </w:pPr>
    </w:p>
    <w:p>
      <w:pPr>
        <w:pStyle w:val="3"/>
        <w:spacing w:before="104"/>
        <w:ind w:left="1332"/>
      </w:pPr>
      <w:r>
        <w:t>Chapter Eight</w:t>
      </w:r>
    </w:p>
    <w:p>
      <w:pPr>
        <w:spacing w:before="144"/>
        <w:ind w:left="1340"/>
        <w:rPr>
          <w:b/>
          <w:sz w:val="20"/>
        </w:rPr>
      </w:pPr>
      <w:r>
        <w:rPr>
          <w:b/>
          <w:sz w:val="20"/>
        </w:rPr>
        <w:t>Part A Price of Goods</w:t>
      </w:r>
    </w:p>
    <w:p>
      <w:pPr>
        <w:pStyle w:val="4"/>
        <w:spacing w:before="108"/>
        <w:ind w:left="1420"/>
      </w:pPr>
      <w:r>
        <w:rPr>
          <w:rFonts w:ascii="黑体" w:hAnsi="黑体"/>
          <w:sz w:val="24"/>
        </w:rPr>
        <w:t>★</w:t>
      </w:r>
      <w:r>
        <w:t>Section One Contents of Price Term</w:t>
      </w:r>
    </w:p>
    <w:p>
      <w:pPr>
        <w:pStyle w:val="4"/>
        <w:spacing w:before="67"/>
        <w:ind w:left="1420"/>
        <w:rPr>
          <w:rFonts w:eastAsiaTheme="minorEastAsia"/>
          <w:lang w:eastAsia="zh-CN"/>
        </w:rPr>
      </w:pPr>
      <w:r>
        <w:rPr>
          <w:rFonts w:ascii="黑体" w:hAnsi="黑体"/>
          <w:sz w:val="24"/>
        </w:rPr>
        <w:t>★</w:t>
      </w:r>
      <w:r>
        <w:t>Section Two Pricing Methods</w:t>
      </w:r>
    </w:p>
    <w:p>
      <w:pPr>
        <w:ind w:left="650" w:right="-50" w:firstLine="770"/>
        <w:rPr>
          <w:rFonts w:eastAsia="仿宋_GB2312" w:cstheme="minorHAnsi"/>
          <w:bCs/>
          <w:szCs w:val="21"/>
        </w:rPr>
      </w:pPr>
      <w:r>
        <w:rPr>
          <w:rFonts w:hint="eastAsia" w:eastAsia="仿宋_GB2312" w:cstheme="minorHAnsi"/>
          <w:bCs/>
          <w:szCs w:val="21"/>
        </w:rPr>
        <w:t>思政：</w:t>
      </w:r>
    </w:p>
    <w:p>
      <w:pPr>
        <w:pStyle w:val="4"/>
        <w:spacing w:before="67"/>
        <w:ind w:left="1420"/>
        <w:rPr>
          <w:rFonts w:eastAsia="仿宋_GB2312" w:cstheme="minorHAnsi"/>
          <w:bCs/>
          <w:szCs w:val="21"/>
          <w:lang w:eastAsia="zh-CN"/>
        </w:rPr>
      </w:pPr>
      <w:r>
        <w:rPr>
          <w:rFonts w:hint="eastAsia" w:eastAsia="仿宋_GB2312" w:cstheme="minorHAnsi"/>
          <w:bCs/>
          <w:szCs w:val="21"/>
          <w:lang w:eastAsia="zh-CN"/>
        </w:rPr>
        <w:t>通过对“中国的出口产品价格低品质佳，但为何内销产品却高价低质”的问题的探讨，树立学生“社会主义主人翁”意识，让学生意识到为“中国之崛起”而努力。</w:t>
      </w:r>
    </w:p>
    <w:p>
      <w:pPr>
        <w:pStyle w:val="4"/>
        <w:spacing w:before="67"/>
        <w:ind w:left="1420"/>
        <w:rPr>
          <w:rFonts w:eastAsiaTheme="minorEastAsia"/>
          <w:lang w:eastAsia="zh-CN"/>
        </w:rPr>
      </w:pPr>
    </w:p>
    <w:p>
      <w:pPr>
        <w:pStyle w:val="3"/>
        <w:spacing w:before="103"/>
      </w:pPr>
      <w:r>
        <w:t>Chapter Nine</w:t>
      </w:r>
    </w:p>
    <w:p>
      <w:pPr>
        <w:spacing w:before="145"/>
        <w:ind w:left="1340"/>
        <w:rPr>
          <w:b/>
          <w:sz w:val="20"/>
        </w:rPr>
      </w:pPr>
      <w:r>
        <w:rPr>
          <w:b/>
          <w:sz w:val="20"/>
        </w:rPr>
        <w:t>Part A Delivery of Goods</w:t>
      </w:r>
    </w:p>
    <w:p>
      <w:pPr>
        <w:pStyle w:val="4"/>
        <w:spacing w:before="107"/>
        <w:ind w:left="1420"/>
      </w:pPr>
      <w:r>
        <w:rPr>
          <w:rFonts w:ascii="黑体" w:hAnsi="黑体"/>
          <w:sz w:val="24"/>
        </w:rPr>
        <w:t>★</w:t>
      </w:r>
      <w:r>
        <w:t>Section Methods of the Delivery</w:t>
      </w:r>
    </w:p>
    <w:p>
      <w:pPr>
        <w:pStyle w:val="13"/>
        <w:numPr>
          <w:ilvl w:val="0"/>
          <w:numId w:val="3"/>
        </w:numPr>
        <w:tabs>
          <w:tab w:val="left" w:pos="1661"/>
        </w:tabs>
        <w:rPr>
          <w:sz w:val="20"/>
        </w:rPr>
      </w:pPr>
      <w:r>
        <w:rPr>
          <w:sz w:val="20"/>
        </w:rPr>
        <w:t>Section Two Delivery</w:t>
      </w:r>
      <w:r>
        <w:rPr>
          <w:spacing w:val="-2"/>
          <w:sz w:val="20"/>
        </w:rPr>
        <w:t xml:space="preserve"> </w:t>
      </w:r>
      <w:r>
        <w:rPr>
          <w:sz w:val="20"/>
        </w:rPr>
        <w:t>Conditions</w:t>
      </w:r>
    </w:p>
    <w:p>
      <w:pPr>
        <w:pStyle w:val="4"/>
        <w:spacing w:before="67" w:line="287" w:lineRule="exact"/>
        <w:ind w:left="1420"/>
      </w:pPr>
      <w:r>
        <w:rPr>
          <w:rFonts w:ascii="黑体" w:hAnsi="黑体"/>
          <w:sz w:val="24"/>
        </w:rPr>
        <w:t>★</w:t>
      </w:r>
      <w:r>
        <w:t>Section Three Shipping Documents</w:t>
      </w:r>
    </w:p>
    <w:p>
      <w:pPr>
        <w:pStyle w:val="4"/>
        <w:spacing w:line="465" w:lineRule="exact"/>
        <w:ind w:left="1420"/>
        <w:rPr>
          <w:rFonts w:eastAsiaTheme="minorEastAsia"/>
          <w:lang w:eastAsia="zh-CN"/>
        </w:rPr>
      </w:pPr>
      <w:r>
        <w:rPr>
          <w:rFonts w:hint="eastAsia" w:ascii="Source Han Sans HW" w:eastAsia="Source Han Sans HW"/>
          <w:b/>
          <w:sz w:val="24"/>
        </w:rPr>
        <w:t>＊</w:t>
      </w:r>
      <w:r>
        <w:t>Section Four Logistics Mode of Cross-border E-commerce</w:t>
      </w:r>
    </w:p>
    <w:p>
      <w:pPr>
        <w:pStyle w:val="4"/>
        <w:spacing w:before="67" w:line="321" w:lineRule="auto"/>
        <w:ind w:left="1420" w:right="4385" w:firstLine="20"/>
        <w:rPr>
          <w:rFonts w:eastAsiaTheme="minorEastAsia"/>
          <w:u w:val="single"/>
          <w:lang w:eastAsia="zh-CN"/>
        </w:rPr>
      </w:pPr>
      <w:r>
        <w:rPr>
          <w:rFonts w:hint="eastAsia"/>
          <w:u w:val="single"/>
        </w:rPr>
        <w:t>Practice：</w:t>
      </w:r>
      <w:r>
        <w:rPr>
          <w:rFonts w:hint="eastAsia" w:eastAsiaTheme="minorEastAsia"/>
          <w:u w:val="single"/>
          <w:lang w:eastAsia="zh-CN"/>
        </w:rPr>
        <w:t>Production of B</w:t>
      </w:r>
      <w:r>
        <w:rPr>
          <w:rFonts w:eastAsiaTheme="minorEastAsia"/>
          <w:u w:val="single"/>
          <w:lang w:eastAsia="zh-CN"/>
        </w:rPr>
        <w:t>i</w:t>
      </w:r>
      <w:r>
        <w:rPr>
          <w:rFonts w:hint="eastAsia" w:eastAsiaTheme="minorEastAsia"/>
          <w:u w:val="single"/>
          <w:lang w:eastAsia="zh-CN"/>
        </w:rPr>
        <w:t xml:space="preserve">ll of Lading </w:t>
      </w:r>
    </w:p>
    <w:p>
      <w:pPr>
        <w:ind w:left="650" w:right="-50" w:firstLine="770"/>
        <w:rPr>
          <w:rFonts w:eastAsia="仿宋_GB2312" w:cstheme="minorHAnsi"/>
          <w:bCs/>
          <w:szCs w:val="21"/>
          <w:lang w:eastAsia="zh-CN"/>
        </w:rPr>
      </w:pPr>
      <w:r>
        <w:rPr>
          <w:rFonts w:hint="eastAsia" w:eastAsia="仿宋_GB2312" w:cstheme="minorHAnsi"/>
          <w:bCs/>
          <w:szCs w:val="21"/>
          <w:lang w:eastAsia="zh-CN"/>
        </w:rPr>
        <w:t>思政：</w:t>
      </w:r>
    </w:p>
    <w:p>
      <w:pPr>
        <w:ind w:left="650" w:right="-50" w:firstLine="770"/>
        <w:rPr>
          <w:rFonts w:eastAsia="仿宋_GB2312" w:cstheme="minorHAnsi"/>
          <w:bCs/>
          <w:szCs w:val="21"/>
          <w:lang w:eastAsia="zh-CN"/>
        </w:rPr>
      </w:pPr>
      <w:r>
        <w:rPr>
          <w:rFonts w:hint="eastAsia" w:eastAsia="仿宋_GB2312" w:cstheme="minorHAnsi"/>
          <w:bCs/>
          <w:szCs w:val="21"/>
          <w:lang w:eastAsia="zh-CN"/>
        </w:rPr>
        <w:t>通过对“中国高铁”发展问题的探讨，培养学生的“民族自豪感”。</w:t>
      </w:r>
    </w:p>
    <w:p>
      <w:pPr>
        <w:ind w:right="-50"/>
        <w:rPr>
          <w:rFonts w:eastAsia="仿宋_GB2312" w:cstheme="minorHAnsi"/>
          <w:bCs/>
          <w:szCs w:val="21"/>
          <w:lang w:eastAsia="zh-CN"/>
        </w:rPr>
      </w:pPr>
    </w:p>
    <w:p>
      <w:pPr>
        <w:pStyle w:val="3"/>
      </w:pPr>
      <w:r>
        <w:t>Chapter Ten</w:t>
      </w:r>
    </w:p>
    <w:p>
      <w:pPr>
        <w:ind w:left="1420"/>
        <w:rPr>
          <w:b/>
          <w:sz w:val="20"/>
        </w:rPr>
      </w:pPr>
      <w:r>
        <w:rPr>
          <w:rFonts w:hint="eastAsia" w:ascii="Source Han Sans HW" w:eastAsia="Source Han Sans HW"/>
          <w:b/>
          <w:sz w:val="24"/>
        </w:rPr>
        <w:t>＊</w:t>
      </w:r>
      <w:r>
        <w:rPr>
          <w:b/>
          <w:sz w:val="20"/>
        </w:rPr>
        <w:t>Part A Cargo Transportation Insurance</w:t>
      </w:r>
    </w:p>
    <w:p>
      <w:pPr>
        <w:pStyle w:val="4"/>
        <w:spacing w:before="33"/>
        <w:ind w:left="1340"/>
      </w:pPr>
      <w:r>
        <w:t>Section One Marine Insurance</w:t>
      </w:r>
    </w:p>
    <w:p>
      <w:pPr>
        <w:pStyle w:val="4"/>
        <w:spacing w:before="144" w:line="391" w:lineRule="auto"/>
        <w:ind w:left="1340" w:right="4822"/>
      </w:pPr>
      <w:r>
        <w:t>Section Two Risks, Losses and Expenses Section Three Marine Insurance Coverage Section Four Insurance Value</w:t>
      </w:r>
    </w:p>
    <w:p>
      <w:pPr>
        <w:pStyle w:val="4"/>
        <w:spacing w:line="229" w:lineRule="exact"/>
        <w:ind w:left="1340"/>
      </w:pPr>
      <w:r>
        <w:t>Section Five Insurance Premium</w:t>
      </w:r>
    </w:p>
    <w:p>
      <w:pPr>
        <w:pStyle w:val="4"/>
        <w:spacing w:before="145" w:line="391" w:lineRule="auto"/>
        <w:ind w:left="1340" w:right="4080"/>
        <w:rPr>
          <w:rFonts w:eastAsiaTheme="minorEastAsia"/>
          <w:lang w:eastAsia="zh-CN"/>
        </w:rPr>
      </w:pPr>
      <w:r>
        <w:t xml:space="preserve">Section Six Forms of Marine Insurance Contract Section Seven Endorsement of the Insurance Policy Section Eight Insurance practice in China </w:t>
      </w:r>
    </w:p>
    <w:p>
      <w:pPr>
        <w:pStyle w:val="4"/>
        <w:spacing w:before="67" w:line="321" w:lineRule="auto"/>
        <w:ind w:left="620" w:right="4385" w:firstLine="720"/>
        <w:rPr>
          <w:rFonts w:eastAsiaTheme="minorEastAsia"/>
          <w:lang w:eastAsia="zh-CN"/>
        </w:rPr>
      </w:pPr>
      <w:r>
        <w:rPr>
          <w:rFonts w:hint="eastAsia"/>
          <w:u w:val="single"/>
        </w:rPr>
        <w:t>Practice：case study</w:t>
      </w:r>
    </w:p>
    <w:p>
      <w:pPr>
        <w:pStyle w:val="4"/>
        <w:spacing w:before="145" w:line="391" w:lineRule="auto"/>
        <w:ind w:left="1340" w:right="4080"/>
        <w:rPr>
          <w:b/>
        </w:rPr>
      </w:pPr>
      <w:r>
        <w:rPr>
          <w:b/>
        </w:rPr>
        <w:t>Charpter</w:t>
      </w:r>
      <w:r>
        <w:rPr>
          <w:b/>
          <w:spacing w:val="-1"/>
        </w:rPr>
        <w:t xml:space="preserve"> </w:t>
      </w:r>
      <w:r>
        <w:rPr>
          <w:b/>
        </w:rPr>
        <w:t>Eleven</w:t>
      </w:r>
    </w:p>
    <w:p>
      <w:pPr>
        <w:pStyle w:val="3"/>
        <w:spacing w:before="0" w:line="228" w:lineRule="exact"/>
      </w:pPr>
      <w:r>
        <w:t>Part A Payment of Goods</w:t>
      </w:r>
    </w:p>
    <w:p>
      <w:pPr>
        <w:pStyle w:val="4"/>
        <w:spacing w:before="107"/>
        <w:ind w:left="1420"/>
      </w:pPr>
      <w:r>
        <w:rPr>
          <w:rFonts w:ascii="黑体" w:hAnsi="黑体"/>
          <w:sz w:val="24"/>
        </w:rPr>
        <w:t>★</w:t>
      </w:r>
      <w:r>
        <w:t>Section One Instruments of Payment in International Trade</w:t>
      </w:r>
    </w:p>
    <w:p>
      <w:pPr>
        <w:pStyle w:val="4"/>
        <w:spacing w:before="67" w:line="287" w:lineRule="exact"/>
        <w:ind w:left="1420"/>
      </w:pPr>
      <w:r>
        <w:rPr>
          <w:rFonts w:ascii="黑体" w:hAnsi="黑体"/>
          <w:sz w:val="24"/>
        </w:rPr>
        <w:t>★</w:t>
      </w:r>
      <w:r>
        <w:t>Section Two Modes of payment in International Trade</w:t>
      </w:r>
    </w:p>
    <w:p>
      <w:pPr>
        <w:pStyle w:val="4"/>
        <w:spacing w:line="465" w:lineRule="exact"/>
        <w:ind w:left="1420"/>
        <w:rPr>
          <w:rFonts w:eastAsiaTheme="minorEastAsia"/>
          <w:lang w:eastAsia="zh-CN"/>
        </w:rPr>
      </w:pPr>
      <w:r>
        <w:rPr>
          <w:rFonts w:hint="eastAsia" w:ascii="Source Han Sans HW" w:eastAsia="Source Han Sans HW"/>
          <w:b/>
          <w:sz w:val="24"/>
        </w:rPr>
        <w:t>＊</w:t>
      </w:r>
      <w:r>
        <w:t>Section Three Cross-border Payments and Process</w:t>
      </w:r>
    </w:p>
    <w:p>
      <w:pPr>
        <w:pStyle w:val="4"/>
        <w:spacing w:before="67" w:line="321" w:lineRule="auto"/>
        <w:ind w:left="1420" w:right="4385"/>
        <w:rPr>
          <w:rFonts w:eastAsiaTheme="minorEastAsia"/>
          <w:u w:val="single"/>
          <w:lang w:eastAsia="zh-CN"/>
        </w:rPr>
      </w:pPr>
      <w:r>
        <w:rPr>
          <w:rFonts w:hint="eastAsia"/>
          <w:u w:val="single"/>
        </w:rPr>
        <w:t>Practice：</w:t>
      </w:r>
      <w:r>
        <w:rPr>
          <w:rFonts w:hint="eastAsia" w:eastAsiaTheme="minorEastAsia"/>
          <w:u w:val="single"/>
          <w:lang w:eastAsia="zh-CN"/>
        </w:rPr>
        <w:t>compare and analyze three kinds of remittance</w:t>
      </w:r>
    </w:p>
    <w:p>
      <w:pPr>
        <w:pStyle w:val="4"/>
        <w:spacing w:before="67" w:line="321" w:lineRule="auto"/>
        <w:ind w:left="1420" w:right="4385"/>
        <w:rPr>
          <w:rFonts w:eastAsiaTheme="minorEastAsia"/>
          <w:u w:val="single"/>
          <w:lang w:eastAsia="zh-CN"/>
        </w:rPr>
      </w:pPr>
      <w:r>
        <w:rPr>
          <w:rFonts w:hint="eastAsia"/>
          <w:u w:val="single"/>
        </w:rPr>
        <w:t>Practice：</w:t>
      </w:r>
      <w:r>
        <w:rPr>
          <w:rFonts w:hint="eastAsia" w:eastAsiaTheme="minorEastAsia"/>
          <w:u w:val="single"/>
          <w:lang w:eastAsia="zh-CN"/>
        </w:rPr>
        <w:t>Production of Bill of Exchange</w:t>
      </w:r>
    </w:p>
    <w:p>
      <w:pPr>
        <w:ind w:left="650" w:right="-50" w:firstLine="770"/>
        <w:rPr>
          <w:rFonts w:eastAsia="仿宋_GB2312" w:cstheme="minorHAnsi"/>
          <w:bCs/>
          <w:szCs w:val="21"/>
          <w:lang w:eastAsia="zh-CN"/>
        </w:rPr>
      </w:pPr>
      <w:r>
        <w:rPr>
          <w:rFonts w:hint="eastAsia" w:eastAsia="仿宋_GB2312" w:cstheme="minorHAnsi"/>
          <w:bCs/>
          <w:szCs w:val="21"/>
          <w:lang w:eastAsia="zh-CN"/>
        </w:rPr>
        <w:t>思政：</w:t>
      </w:r>
    </w:p>
    <w:p>
      <w:pPr>
        <w:ind w:left="650" w:right="-50" w:firstLine="770"/>
        <w:rPr>
          <w:rFonts w:eastAsia="仿宋_GB2312" w:cstheme="minorHAnsi"/>
          <w:bCs/>
          <w:szCs w:val="21"/>
          <w:lang w:eastAsia="zh-CN"/>
        </w:rPr>
      </w:pPr>
      <w:r>
        <w:rPr>
          <w:rFonts w:hint="eastAsia" w:eastAsia="仿宋_GB2312" w:cstheme="minorHAnsi"/>
          <w:bCs/>
          <w:szCs w:val="21"/>
          <w:lang w:eastAsia="zh-CN"/>
        </w:rPr>
        <w:t>通过对银行贷款反例，提倡合理负债，帮助大学生建立正确的金钱观和价值观。</w:t>
      </w:r>
    </w:p>
    <w:p>
      <w:pPr>
        <w:ind w:left="650" w:right="-50" w:firstLine="770"/>
        <w:rPr>
          <w:rFonts w:eastAsia="仿宋_GB2312" w:cstheme="minorHAnsi"/>
          <w:bCs/>
          <w:szCs w:val="21"/>
          <w:lang w:eastAsia="zh-CN"/>
        </w:rPr>
      </w:pPr>
    </w:p>
    <w:p>
      <w:pPr>
        <w:pStyle w:val="3"/>
      </w:pPr>
      <w:r>
        <w:t>Chapter Twelve</w:t>
      </w:r>
    </w:p>
    <w:p>
      <w:pPr>
        <w:spacing w:before="145"/>
        <w:ind w:left="1340"/>
        <w:rPr>
          <w:b/>
          <w:sz w:val="20"/>
        </w:rPr>
      </w:pPr>
      <w:r>
        <w:rPr>
          <w:b/>
          <w:sz w:val="20"/>
        </w:rPr>
        <w:t>Part A Disputes, Claim and Arbitration</w:t>
      </w:r>
    </w:p>
    <w:p>
      <w:pPr>
        <w:pStyle w:val="13"/>
        <w:numPr>
          <w:ilvl w:val="0"/>
          <w:numId w:val="3"/>
        </w:numPr>
        <w:tabs>
          <w:tab w:val="left" w:pos="1661"/>
        </w:tabs>
        <w:spacing w:before="107"/>
        <w:rPr>
          <w:sz w:val="20"/>
        </w:rPr>
      </w:pPr>
      <w:r>
        <w:rPr>
          <w:sz w:val="20"/>
        </w:rPr>
        <w:t>Section One Disputes and</w:t>
      </w:r>
      <w:r>
        <w:rPr>
          <w:spacing w:val="-2"/>
          <w:sz w:val="20"/>
        </w:rPr>
        <w:t xml:space="preserve"> </w:t>
      </w:r>
      <w:r>
        <w:rPr>
          <w:sz w:val="20"/>
        </w:rPr>
        <w:t>Claim</w:t>
      </w:r>
    </w:p>
    <w:p>
      <w:pPr>
        <w:pStyle w:val="4"/>
        <w:spacing w:before="67"/>
        <w:ind w:left="1420"/>
      </w:pPr>
      <w:r>
        <w:rPr>
          <w:rFonts w:ascii="黑体" w:hAnsi="黑体"/>
          <w:sz w:val="24"/>
        </w:rPr>
        <w:t>▲</w:t>
      </w:r>
      <w:r>
        <w:t>Section Two Force Majeure</w:t>
      </w:r>
    </w:p>
    <w:p>
      <w:pPr>
        <w:pStyle w:val="4"/>
        <w:spacing w:before="67" w:line="287" w:lineRule="exact"/>
        <w:ind w:left="1420"/>
        <w:rPr>
          <w:rFonts w:eastAsiaTheme="minorEastAsia"/>
          <w:lang w:eastAsia="zh-CN"/>
        </w:rPr>
      </w:pPr>
      <w:r>
        <w:rPr>
          <w:rFonts w:ascii="黑体" w:hAnsi="黑体"/>
          <w:sz w:val="24"/>
        </w:rPr>
        <w:t>▲</w:t>
      </w:r>
      <w:r>
        <w:t>Section Three Arbitration</w:t>
      </w:r>
    </w:p>
    <w:p>
      <w:pPr>
        <w:ind w:left="650" w:right="-50" w:firstLine="770"/>
        <w:rPr>
          <w:rFonts w:eastAsia="仿宋_GB2312" w:cstheme="minorHAnsi"/>
          <w:bCs/>
          <w:szCs w:val="21"/>
        </w:rPr>
      </w:pPr>
      <w:r>
        <w:rPr>
          <w:rFonts w:hint="eastAsia" w:eastAsia="仿宋_GB2312" w:cstheme="minorHAnsi"/>
          <w:bCs/>
          <w:szCs w:val="21"/>
        </w:rPr>
        <w:t>思政：</w:t>
      </w:r>
    </w:p>
    <w:p>
      <w:pPr>
        <w:pStyle w:val="4"/>
        <w:spacing w:before="67" w:line="287" w:lineRule="exact"/>
        <w:ind w:left="1420"/>
        <w:rPr>
          <w:rFonts w:eastAsiaTheme="minorEastAsia"/>
          <w:lang w:eastAsia="zh-CN"/>
        </w:rPr>
      </w:pPr>
      <w:r>
        <w:rPr>
          <w:rFonts w:hint="eastAsia" w:eastAsia="仿宋_GB2312" w:cstheme="minorHAnsi"/>
          <w:bCs/>
          <w:szCs w:val="21"/>
          <w:lang w:eastAsia="zh-CN"/>
        </w:rPr>
        <w:t>通过对国际贸易纠纷案例的分析，教导学生通过法律的手段，合理解决纠纷，维护我方权益。</w:t>
      </w:r>
    </w:p>
    <w:p>
      <w:pPr>
        <w:pStyle w:val="4"/>
        <w:rPr>
          <w:rFonts w:eastAsiaTheme="minorEastAsia"/>
          <w:sz w:val="22"/>
          <w:lang w:eastAsia="zh-CN"/>
        </w:rPr>
      </w:pPr>
    </w:p>
    <w:p>
      <w:pPr>
        <w:pStyle w:val="4"/>
        <w:rPr>
          <w:rFonts w:eastAsiaTheme="minorEastAsia"/>
          <w:sz w:val="22"/>
          <w:lang w:eastAsia="zh-CN"/>
        </w:rPr>
      </w:pPr>
    </w:p>
    <w:p>
      <w:pPr>
        <w:pStyle w:val="2"/>
        <w:spacing w:before="163"/>
        <w:ind w:left="940"/>
        <w:rPr>
          <w:rFonts w:ascii="黑体" w:eastAsia="黑体"/>
          <w:lang w:eastAsia="zh-CN"/>
        </w:rPr>
      </w:pPr>
      <w:r>
        <w:rPr>
          <w:rFonts w:hint="eastAsia" w:ascii="黑体" w:eastAsia="黑体"/>
          <w:lang w:eastAsia="zh-CN"/>
        </w:rPr>
        <w:t>八、评价方式与成绩</w:t>
      </w:r>
    </w:p>
    <w:p>
      <w:pPr>
        <w:pStyle w:val="2"/>
        <w:spacing w:before="163"/>
        <w:ind w:left="940"/>
        <w:rPr>
          <w:rFonts w:ascii="黑体" w:eastAsiaTheme="minorEastAsia"/>
          <w:lang w:eastAsia="zh-CN"/>
        </w:rPr>
      </w:pPr>
    </w:p>
    <w:tbl>
      <w:tblPr>
        <w:tblStyle w:val="12"/>
        <w:tblW w:w="0" w:type="auto"/>
        <w:tblInd w:w="8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3756"/>
        <w:gridCol w:w="2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809" w:type="dxa"/>
          </w:tcPr>
          <w:p>
            <w:pPr>
              <w:pStyle w:val="14"/>
              <w:rPr>
                <w:rFonts w:ascii="黑体"/>
                <w:sz w:val="23"/>
                <w:lang w:eastAsia="zh-CN"/>
              </w:rPr>
            </w:pPr>
          </w:p>
          <w:p>
            <w:pPr>
              <w:pStyle w:val="14"/>
              <w:ind w:left="149" w:right="35"/>
              <w:jc w:val="center"/>
              <w:rPr>
                <w:rFonts w:ascii="宋体" w:eastAsia="宋体"/>
                <w:sz w:val="21"/>
              </w:rPr>
            </w:pPr>
            <w:r>
              <w:rPr>
                <w:rFonts w:hint="eastAsia" w:ascii="宋体" w:eastAsia="宋体"/>
                <w:sz w:val="21"/>
              </w:rPr>
              <w:t xml:space="preserve">总评构成（1+X） </w:t>
            </w:r>
          </w:p>
        </w:tc>
        <w:tc>
          <w:tcPr>
            <w:tcW w:w="3756" w:type="dxa"/>
          </w:tcPr>
          <w:p>
            <w:pPr>
              <w:pStyle w:val="14"/>
              <w:rPr>
                <w:rFonts w:ascii="黑体"/>
                <w:sz w:val="23"/>
              </w:rPr>
            </w:pPr>
          </w:p>
          <w:p>
            <w:pPr>
              <w:pStyle w:val="14"/>
              <w:ind w:left="650" w:right="536"/>
              <w:jc w:val="center"/>
              <w:rPr>
                <w:rFonts w:ascii="宋体" w:eastAsia="宋体"/>
                <w:sz w:val="21"/>
              </w:rPr>
            </w:pPr>
            <w:r>
              <w:rPr>
                <w:rFonts w:hint="eastAsia" w:ascii="宋体" w:eastAsia="宋体"/>
                <w:sz w:val="21"/>
              </w:rPr>
              <w:t xml:space="preserve">评价方式 </w:t>
            </w:r>
          </w:p>
        </w:tc>
        <w:tc>
          <w:tcPr>
            <w:tcW w:w="2341" w:type="dxa"/>
          </w:tcPr>
          <w:p>
            <w:pPr>
              <w:pStyle w:val="14"/>
              <w:jc w:val="center"/>
              <w:rPr>
                <w:rFonts w:ascii="黑体"/>
                <w:sz w:val="23"/>
              </w:rPr>
            </w:pPr>
          </w:p>
          <w:p>
            <w:pPr>
              <w:pStyle w:val="14"/>
              <w:ind w:right="82"/>
              <w:jc w:val="center"/>
              <w:rPr>
                <w:rFonts w:ascii="宋体" w:eastAsia="宋体"/>
                <w:sz w:val="21"/>
              </w:rPr>
            </w:pPr>
            <w:r>
              <w:rPr>
                <w:rFonts w:hint="eastAsia" w:ascii="宋体" w:eastAsia="宋体"/>
                <w:sz w:val="21"/>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09" w:type="dxa"/>
          </w:tcPr>
          <w:p>
            <w:pPr>
              <w:pStyle w:val="14"/>
              <w:spacing w:before="178"/>
              <w:ind w:left="149" w:right="34"/>
              <w:jc w:val="center"/>
              <w:rPr>
                <w:rFonts w:ascii="宋体"/>
                <w:sz w:val="21"/>
              </w:rPr>
            </w:pPr>
            <w:r>
              <w:rPr>
                <w:rFonts w:ascii="宋体"/>
                <w:sz w:val="21"/>
              </w:rPr>
              <w:t xml:space="preserve">1 </w:t>
            </w:r>
          </w:p>
        </w:tc>
        <w:tc>
          <w:tcPr>
            <w:tcW w:w="3756" w:type="dxa"/>
          </w:tcPr>
          <w:p>
            <w:pPr>
              <w:pStyle w:val="14"/>
              <w:spacing w:before="178"/>
              <w:ind w:left="650" w:right="536"/>
              <w:jc w:val="center"/>
              <w:rPr>
                <w:rFonts w:ascii="宋体" w:eastAsia="宋体"/>
                <w:sz w:val="21"/>
              </w:rPr>
            </w:pPr>
            <w:r>
              <w:rPr>
                <w:rFonts w:hint="eastAsia" w:ascii="宋体" w:eastAsia="宋体"/>
                <w:sz w:val="21"/>
              </w:rPr>
              <w:t xml:space="preserve">期终闭卷考 </w:t>
            </w:r>
          </w:p>
        </w:tc>
        <w:tc>
          <w:tcPr>
            <w:tcW w:w="2341" w:type="dxa"/>
          </w:tcPr>
          <w:p>
            <w:pPr>
              <w:pStyle w:val="14"/>
              <w:spacing w:before="178"/>
              <w:ind w:right="133"/>
              <w:jc w:val="center"/>
              <w:rPr>
                <w:rFonts w:asciiTheme="minorHAnsi" w:hAnsiTheme="minorHAnsi" w:cstheme="minorHAnsi"/>
                <w:sz w:val="21"/>
              </w:rPr>
            </w:pPr>
            <w:r>
              <w:rPr>
                <w:rFonts w:asciiTheme="minorHAnsi" w:hAnsiTheme="minorHAnsi" w:cstheme="minorHAnsi"/>
                <w:sz w:val="21"/>
                <w:lang w:eastAsia="zh-CN"/>
              </w:rPr>
              <w:t>55</w:t>
            </w:r>
            <w:r>
              <w:rPr>
                <w:rFonts w:asciiTheme="minorHAnsi" w:hAnsiTheme="minorHAnsi" w:cstheme="minorHAns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09" w:type="dxa"/>
          </w:tcPr>
          <w:p>
            <w:pPr>
              <w:pStyle w:val="14"/>
              <w:spacing w:before="159"/>
              <w:ind w:left="149" w:right="34"/>
              <w:jc w:val="center"/>
              <w:rPr>
                <w:rFonts w:ascii="宋体"/>
                <w:sz w:val="21"/>
              </w:rPr>
            </w:pPr>
            <w:r>
              <w:rPr>
                <w:rFonts w:ascii="宋体"/>
                <w:sz w:val="21"/>
              </w:rPr>
              <w:t xml:space="preserve">X1 </w:t>
            </w:r>
          </w:p>
        </w:tc>
        <w:tc>
          <w:tcPr>
            <w:tcW w:w="3756" w:type="dxa"/>
          </w:tcPr>
          <w:p>
            <w:pPr>
              <w:pStyle w:val="14"/>
              <w:spacing w:before="159"/>
              <w:ind w:left="650" w:right="536"/>
              <w:jc w:val="center"/>
              <w:rPr>
                <w:rFonts w:ascii="宋体" w:eastAsia="宋体"/>
                <w:sz w:val="21"/>
              </w:rPr>
            </w:pPr>
            <w:r>
              <w:rPr>
                <w:rFonts w:hint="eastAsia" w:ascii="宋体" w:eastAsia="宋体"/>
                <w:sz w:val="21"/>
                <w:lang w:eastAsia="zh-CN"/>
              </w:rPr>
              <w:t>第1-5单元测验</w:t>
            </w:r>
            <w:r>
              <w:rPr>
                <w:rFonts w:hint="eastAsia" w:ascii="宋体" w:eastAsia="宋体"/>
                <w:sz w:val="21"/>
              </w:rPr>
              <w:t xml:space="preserve"> </w:t>
            </w:r>
          </w:p>
        </w:tc>
        <w:tc>
          <w:tcPr>
            <w:tcW w:w="2341" w:type="dxa"/>
          </w:tcPr>
          <w:p>
            <w:pPr>
              <w:pStyle w:val="14"/>
              <w:spacing w:before="159"/>
              <w:ind w:right="133"/>
              <w:jc w:val="center"/>
              <w:rPr>
                <w:rFonts w:asciiTheme="minorHAnsi" w:hAnsiTheme="minorHAnsi" w:cstheme="minorHAnsi"/>
                <w:sz w:val="21"/>
              </w:rPr>
            </w:pPr>
            <w:r>
              <w:rPr>
                <w:rFonts w:asciiTheme="minorHAnsi" w:hAnsiTheme="minorHAnsi" w:cstheme="minorHAnsi"/>
                <w:sz w:val="21"/>
                <w:lang w:eastAsia="zh-CN"/>
              </w:rPr>
              <w:t>15</w:t>
            </w:r>
            <w:r>
              <w:rPr>
                <w:rFonts w:asciiTheme="minorHAnsi" w:hAnsiTheme="minorHAnsi" w:cstheme="minorHAns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09" w:type="dxa"/>
          </w:tcPr>
          <w:p>
            <w:pPr>
              <w:pStyle w:val="14"/>
              <w:spacing w:before="178"/>
              <w:ind w:left="149" w:right="34"/>
              <w:jc w:val="center"/>
              <w:rPr>
                <w:rFonts w:ascii="宋体"/>
                <w:sz w:val="21"/>
              </w:rPr>
            </w:pPr>
            <w:r>
              <w:rPr>
                <w:rFonts w:ascii="宋体"/>
                <w:sz w:val="21"/>
              </w:rPr>
              <w:t xml:space="preserve">X2 </w:t>
            </w:r>
          </w:p>
        </w:tc>
        <w:tc>
          <w:tcPr>
            <w:tcW w:w="3756" w:type="dxa"/>
          </w:tcPr>
          <w:p>
            <w:pPr>
              <w:pStyle w:val="14"/>
              <w:spacing w:before="178"/>
              <w:ind w:left="650" w:right="536"/>
              <w:jc w:val="center"/>
              <w:rPr>
                <w:rFonts w:ascii="宋体" w:eastAsia="宋体"/>
                <w:sz w:val="21"/>
              </w:rPr>
            </w:pPr>
            <w:r>
              <w:rPr>
                <w:rFonts w:hint="eastAsia" w:ascii="宋体" w:eastAsia="宋体"/>
                <w:sz w:val="21"/>
                <w:lang w:eastAsia="zh-CN"/>
              </w:rPr>
              <w:t>第6-10单元测验</w:t>
            </w:r>
          </w:p>
        </w:tc>
        <w:tc>
          <w:tcPr>
            <w:tcW w:w="2341" w:type="dxa"/>
          </w:tcPr>
          <w:p>
            <w:pPr>
              <w:pStyle w:val="14"/>
              <w:spacing w:before="178"/>
              <w:ind w:right="133"/>
              <w:jc w:val="center"/>
              <w:rPr>
                <w:rFonts w:asciiTheme="minorHAnsi" w:hAnsiTheme="minorHAnsi" w:cstheme="minorHAnsi"/>
                <w:sz w:val="21"/>
              </w:rPr>
            </w:pPr>
            <w:r>
              <w:rPr>
                <w:rFonts w:asciiTheme="minorHAnsi" w:hAnsiTheme="minorHAnsi" w:cstheme="minorHAnsi"/>
                <w:sz w:val="21"/>
                <w:lang w:eastAsia="zh-CN"/>
              </w:rPr>
              <w:t>15</w:t>
            </w:r>
            <w:r>
              <w:rPr>
                <w:rFonts w:asciiTheme="minorHAnsi" w:hAnsiTheme="minorHAnsi" w:cstheme="minorHAns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09" w:type="dxa"/>
          </w:tcPr>
          <w:p>
            <w:pPr>
              <w:pStyle w:val="14"/>
              <w:spacing w:before="178"/>
              <w:ind w:left="149" w:right="34"/>
              <w:jc w:val="center"/>
              <w:rPr>
                <w:rFonts w:ascii="宋体"/>
                <w:sz w:val="21"/>
              </w:rPr>
            </w:pPr>
            <w:r>
              <w:rPr>
                <w:rFonts w:hint="eastAsia" w:ascii="宋体"/>
                <w:sz w:val="21"/>
                <w:lang w:eastAsia="zh-CN"/>
              </w:rPr>
              <w:t>X3</w:t>
            </w:r>
          </w:p>
        </w:tc>
        <w:tc>
          <w:tcPr>
            <w:tcW w:w="3756" w:type="dxa"/>
          </w:tcPr>
          <w:p>
            <w:pPr>
              <w:pStyle w:val="14"/>
              <w:spacing w:before="178"/>
              <w:ind w:left="650" w:right="536"/>
              <w:jc w:val="center"/>
              <w:rPr>
                <w:rFonts w:ascii="宋体" w:eastAsia="宋体"/>
                <w:sz w:val="21"/>
                <w:lang w:eastAsia="zh-CN"/>
              </w:rPr>
            </w:pPr>
            <w:r>
              <w:rPr>
                <w:rFonts w:hint="eastAsia" w:ascii="宋体" w:eastAsia="宋体"/>
                <w:sz w:val="21"/>
                <w:lang w:eastAsia="zh-CN"/>
              </w:rPr>
              <w:t>实践报告，课堂练习，案例分析，</w:t>
            </w:r>
            <w:bookmarkStart w:id="1" w:name="_GoBack"/>
            <w:bookmarkEnd w:id="1"/>
            <w:r>
              <w:rPr>
                <w:rFonts w:hint="eastAsia" w:ascii="宋体" w:eastAsia="宋体"/>
                <w:sz w:val="21"/>
                <w:lang w:eastAsia="zh-CN"/>
              </w:rPr>
              <w:t>考勤等</w:t>
            </w:r>
          </w:p>
        </w:tc>
        <w:tc>
          <w:tcPr>
            <w:tcW w:w="2341" w:type="dxa"/>
          </w:tcPr>
          <w:p>
            <w:pPr>
              <w:pStyle w:val="14"/>
              <w:spacing w:before="178"/>
              <w:ind w:right="133"/>
              <w:jc w:val="center"/>
              <w:rPr>
                <w:rFonts w:asciiTheme="minorHAnsi" w:hAnsiTheme="minorHAnsi" w:cstheme="minorHAnsi"/>
                <w:sz w:val="21"/>
              </w:rPr>
            </w:pPr>
            <w:r>
              <w:rPr>
                <w:rFonts w:asciiTheme="minorHAnsi" w:hAnsiTheme="minorHAnsi" w:cstheme="minorHAnsi"/>
                <w:sz w:val="21"/>
                <w:lang w:eastAsia="zh-CN"/>
              </w:rPr>
              <w:t>15%</w:t>
            </w:r>
          </w:p>
        </w:tc>
      </w:tr>
    </w:tbl>
    <w:p>
      <w:pPr>
        <w:pStyle w:val="4"/>
        <w:rPr>
          <w:rFonts w:ascii="宋体"/>
          <w:lang w:eastAsia="zh-CN"/>
        </w:rPr>
      </w:pPr>
    </w:p>
    <w:p>
      <w:pPr>
        <w:pStyle w:val="4"/>
        <w:rPr>
          <w:rFonts w:hint="eastAsia" w:ascii="宋体"/>
          <w:sz w:val="22"/>
          <w:lang w:val="en-US" w:eastAsia="zh-CN"/>
        </w:rPr>
      </w:pPr>
      <w:r>
        <w:rPr>
          <w:sz w:val="24"/>
          <w:szCs w:val="24"/>
        </w:rPr>
        <w:drawing>
          <wp:anchor distT="0" distB="0" distL="114300" distR="114300" simplePos="0" relativeHeight="251662336" behindDoc="0" locked="0" layoutInCell="1" allowOverlap="1">
            <wp:simplePos x="0" y="0"/>
            <wp:positionH relativeFrom="column">
              <wp:posOffset>3256915</wp:posOffset>
            </wp:positionH>
            <wp:positionV relativeFrom="paragraph">
              <wp:posOffset>30480</wp:posOffset>
            </wp:positionV>
            <wp:extent cx="867410" cy="449580"/>
            <wp:effectExtent l="0" t="0" r="889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7410" cy="449580"/>
                    </a:xfrm>
                    <a:prstGeom prst="rect">
                      <a:avLst/>
                    </a:prstGeom>
                  </pic:spPr>
                </pic:pic>
              </a:graphicData>
            </a:graphic>
          </wp:anchor>
        </w:drawing>
      </w:r>
      <w:r>
        <w:rPr>
          <w:sz w:val="28"/>
          <w:szCs w:val="28"/>
        </w:rPr>
        <w:drawing>
          <wp:anchor distT="0" distB="0" distL="114300" distR="114300" simplePos="0" relativeHeight="251661312" behindDoc="0" locked="0" layoutInCell="1" allowOverlap="1">
            <wp:simplePos x="0" y="0"/>
            <wp:positionH relativeFrom="column">
              <wp:posOffset>1055370</wp:posOffset>
            </wp:positionH>
            <wp:positionV relativeFrom="paragraph">
              <wp:posOffset>67310</wp:posOffset>
            </wp:positionV>
            <wp:extent cx="772795" cy="464820"/>
            <wp:effectExtent l="0" t="0" r="8255" b="0"/>
            <wp:wrapNone/>
            <wp:docPr id="2" name="图片 2" descr="E:\最新资料\论文归档（物流2016级）\电子签名\徐佳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最新资料\论文归档（物流2016级）\电子签名\徐佳琦.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72795" cy="464820"/>
                    </a:xfrm>
                    <a:prstGeom prst="rect">
                      <a:avLst/>
                    </a:prstGeom>
                    <a:noFill/>
                    <a:ln>
                      <a:noFill/>
                    </a:ln>
                  </pic:spPr>
                </pic:pic>
              </a:graphicData>
            </a:graphic>
          </wp:anchor>
        </w:drawing>
      </w:r>
      <w:r>
        <w:rPr>
          <w:rFonts w:hint="eastAsia" w:ascii="宋体"/>
          <w:sz w:val="22"/>
          <w:lang w:val="en-US" w:eastAsia="zh-CN"/>
        </w:rPr>
        <w:t xml:space="preserve">  </w:t>
      </w:r>
    </w:p>
    <w:p>
      <w:pPr>
        <w:pStyle w:val="4"/>
        <w:ind w:firstLine="440" w:firstLineChars="200"/>
        <w:rPr>
          <w:rFonts w:hint="default" w:ascii="宋体"/>
          <w:sz w:val="22"/>
          <w:lang w:val="en-US" w:eastAsia="zh-CN"/>
        </w:rPr>
      </w:pPr>
      <w:r>
        <w:rPr>
          <w:rFonts w:hint="eastAsia" w:ascii="宋体"/>
          <w:sz w:val="22"/>
          <w:lang w:val="en-US" w:eastAsia="zh-CN"/>
        </w:rPr>
        <w:t xml:space="preserve"> </w:t>
      </w:r>
      <w:r>
        <w:rPr>
          <w:rFonts w:hint="eastAsia"/>
          <w:sz w:val="28"/>
          <w:szCs w:val="28"/>
        </w:rPr>
        <w:t xml:space="preserve">撰写人：      </w:t>
      </w:r>
      <w:r>
        <w:rPr>
          <w:sz w:val="28"/>
          <w:szCs w:val="28"/>
        </w:rPr>
        <w:t xml:space="preserve">        </w:t>
      </w:r>
      <w:r>
        <w:rPr>
          <w:rFonts w:hint="eastAsia" w:eastAsia="宋体"/>
          <w:sz w:val="28"/>
          <w:szCs w:val="28"/>
          <w:lang w:val="en-US" w:eastAsia="zh-CN"/>
        </w:rPr>
        <w:t xml:space="preserve">    </w:t>
      </w:r>
      <w:r>
        <w:rPr>
          <w:rFonts w:hint="eastAsia"/>
          <w:sz w:val="28"/>
          <w:szCs w:val="28"/>
        </w:rPr>
        <w:t xml:space="preserve">系主任审核签名： </w:t>
      </w:r>
      <w:r>
        <w:rPr>
          <w:sz w:val="28"/>
          <w:szCs w:val="28"/>
        </w:rPr>
        <w:t xml:space="preserve">      </w:t>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2022.9</w:t>
      </w:r>
      <w:r>
        <w:rPr>
          <w:rFonts w:hint="eastAsia"/>
          <w:sz w:val="28"/>
          <w:szCs w:val="28"/>
        </w:rPr>
        <w:t xml:space="preserve">  </w:t>
      </w:r>
    </w:p>
    <w:sectPr>
      <w:pgSz w:w="11910" w:h="16840"/>
      <w:pgMar w:top="958" w:right="1026" w:bottom="958" w:left="10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Source Han Sans HW">
    <w:altName w:val="MS PGothic"/>
    <w:panose1 w:val="00000000000000000000"/>
    <w:charset w:val="80"/>
    <w:family w:val="swiss"/>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20D76"/>
    <w:multiLevelType w:val="multilevel"/>
    <w:tmpl w:val="07420D76"/>
    <w:lvl w:ilvl="0" w:tentative="0">
      <w:start w:val="0"/>
      <w:numFmt w:val="bullet"/>
      <w:lvlText w:val="●"/>
      <w:lvlJc w:val="left"/>
      <w:pPr>
        <w:ind w:left="1661" w:hanging="241"/>
      </w:pPr>
      <w:rPr>
        <w:rFonts w:hint="default" w:ascii="黑体" w:hAnsi="黑体" w:eastAsia="黑体" w:cs="黑体"/>
        <w:w w:val="100"/>
        <w:sz w:val="22"/>
        <w:szCs w:val="22"/>
        <w:lang w:val="en-US" w:eastAsia="en-US" w:bidi="en-US"/>
      </w:rPr>
    </w:lvl>
    <w:lvl w:ilvl="1" w:tentative="0">
      <w:start w:val="0"/>
      <w:numFmt w:val="bullet"/>
      <w:lvlText w:val="•"/>
      <w:lvlJc w:val="left"/>
      <w:pPr>
        <w:ind w:left="2450" w:hanging="241"/>
      </w:pPr>
      <w:rPr>
        <w:rFonts w:hint="default"/>
        <w:lang w:val="en-US" w:eastAsia="en-US" w:bidi="en-US"/>
      </w:rPr>
    </w:lvl>
    <w:lvl w:ilvl="2" w:tentative="0">
      <w:start w:val="0"/>
      <w:numFmt w:val="bullet"/>
      <w:lvlText w:val="•"/>
      <w:lvlJc w:val="left"/>
      <w:pPr>
        <w:ind w:left="3241" w:hanging="241"/>
      </w:pPr>
      <w:rPr>
        <w:rFonts w:hint="default"/>
        <w:lang w:val="en-US" w:eastAsia="en-US" w:bidi="en-US"/>
      </w:rPr>
    </w:lvl>
    <w:lvl w:ilvl="3" w:tentative="0">
      <w:start w:val="0"/>
      <w:numFmt w:val="bullet"/>
      <w:lvlText w:val="•"/>
      <w:lvlJc w:val="left"/>
      <w:pPr>
        <w:ind w:left="4031" w:hanging="241"/>
      </w:pPr>
      <w:rPr>
        <w:rFonts w:hint="default"/>
        <w:lang w:val="en-US" w:eastAsia="en-US" w:bidi="en-US"/>
      </w:rPr>
    </w:lvl>
    <w:lvl w:ilvl="4" w:tentative="0">
      <w:start w:val="0"/>
      <w:numFmt w:val="bullet"/>
      <w:lvlText w:val="•"/>
      <w:lvlJc w:val="left"/>
      <w:pPr>
        <w:ind w:left="4822" w:hanging="241"/>
      </w:pPr>
      <w:rPr>
        <w:rFonts w:hint="default"/>
        <w:lang w:val="en-US" w:eastAsia="en-US" w:bidi="en-US"/>
      </w:rPr>
    </w:lvl>
    <w:lvl w:ilvl="5" w:tentative="0">
      <w:start w:val="0"/>
      <w:numFmt w:val="bullet"/>
      <w:lvlText w:val="•"/>
      <w:lvlJc w:val="left"/>
      <w:pPr>
        <w:ind w:left="5613" w:hanging="241"/>
      </w:pPr>
      <w:rPr>
        <w:rFonts w:hint="default"/>
        <w:lang w:val="en-US" w:eastAsia="en-US" w:bidi="en-US"/>
      </w:rPr>
    </w:lvl>
    <w:lvl w:ilvl="6" w:tentative="0">
      <w:start w:val="0"/>
      <w:numFmt w:val="bullet"/>
      <w:lvlText w:val="•"/>
      <w:lvlJc w:val="left"/>
      <w:pPr>
        <w:ind w:left="6403" w:hanging="241"/>
      </w:pPr>
      <w:rPr>
        <w:rFonts w:hint="default"/>
        <w:lang w:val="en-US" w:eastAsia="en-US" w:bidi="en-US"/>
      </w:rPr>
    </w:lvl>
    <w:lvl w:ilvl="7" w:tentative="0">
      <w:start w:val="0"/>
      <w:numFmt w:val="bullet"/>
      <w:lvlText w:val="•"/>
      <w:lvlJc w:val="left"/>
      <w:pPr>
        <w:ind w:left="7194" w:hanging="241"/>
      </w:pPr>
      <w:rPr>
        <w:rFonts w:hint="default"/>
        <w:lang w:val="en-US" w:eastAsia="en-US" w:bidi="en-US"/>
      </w:rPr>
    </w:lvl>
    <w:lvl w:ilvl="8" w:tentative="0">
      <w:start w:val="0"/>
      <w:numFmt w:val="bullet"/>
      <w:lvlText w:val="•"/>
      <w:lvlJc w:val="left"/>
      <w:pPr>
        <w:ind w:left="7984" w:hanging="241"/>
      </w:pPr>
      <w:rPr>
        <w:rFonts w:hint="default"/>
        <w:lang w:val="en-US" w:eastAsia="en-US" w:bidi="en-US"/>
      </w:rPr>
    </w:lvl>
  </w:abstractNum>
  <w:abstractNum w:abstractNumId="1">
    <w:nsid w:val="1C906725"/>
    <w:multiLevelType w:val="multilevel"/>
    <w:tmpl w:val="1C906725"/>
    <w:lvl w:ilvl="0" w:tentative="0">
      <w:start w:val="1"/>
      <w:numFmt w:val="japaneseCounting"/>
      <w:lvlText w:val="%1、"/>
      <w:lvlJc w:val="left"/>
      <w:pPr>
        <w:ind w:left="2020" w:hanging="720"/>
      </w:pPr>
      <w:rPr>
        <w:rFonts w:hint="default"/>
      </w:rPr>
    </w:lvl>
    <w:lvl w:ilvl="1" w:tentative="0">
      <w:start w:val="1"/>
      <w:numFmt w:val="lowerLetter"/>
      <w:lvlText w:val="%2)"/>
      <w:lvlJc w:val="left"/>
      <w:pPr>
        <w:ind w:left="2140" w:hanging="420"/>
      </w:pPr>
    </w:lvl>
    <w:lvl w:ilvl="2" w:tentative="0">
      <w:start w:val="1"/>
      <w:numFmt w:val="lowerRoman"/>
      <w:lvlText w:val="%3."/>
      <w:lvlJc w:val="right"/>
      <w:pPr>
        <w:ind w:left="2560" w:hanging="420"/>
      </w:pPr>
    </w:lvl>
    <w:lvl w:ilvl="3" w:tentative="0">
      <w:start w:val="1"/>
      <w:numFmt w:val="decimal"/>
      <w:lvlText w:val="%4."/>
      <w:lvlJc w:val="left"/>
      <w:pPr>
        <w:ind w:left="2980" w:hanging="420"/>
      </w:pPr>
    </w:lvl>
    <w:lvl w:ilvl="4" w:tentative="0">
      <w:start w:val="1"/>
      <w:numFmt w:val="lowerLetter"/>
      <w:lvlText w:val="%5)"/>
      <w:lvlJc w:val="left"/>
      <w:pPr>
        <w:ind w:left="3400" w:hanging="420"/>
      </w:pPr>
    </w:lvl>
    <w:lvl w:ilvl="5" w:tentative="0">
      <w:start w:val="1"/>
      <w:numFmt w:val="lowerRoman"/>
      <w:lvlText w:val="%6."/>
      <w:lvlJc w:val="right"/>
      <w:pPr>
        <w:ind w:left="3820" w:hanging="420"/>
      </w:pPr>
    </w:lvl>
    <w:lvl w:ilvl="6" w:tentative="0">
      <w:start w:val="1"/>
      <w:numFmt w:val="decimal"/>
      <w:lvlText w:val="%7."/>
      <w:lvlJc w:val="left"/>
      <w:pPr>
        <w:ind w:left="4240" w:hanging="420"/>
      </w:pPr>
    </w:lvl>
    <w:lvl w:ilvl="7" w:tentative="0">
      <w:start w:val="1"/>
      <w:numFmt w:val="lowerLetter"/>
      <w:lvlText w:val="%8)"/>
      <w:lvlJc w:val="left"/>
      <w:pPr>
        <w:ind w:left="4660" w:hanging="420"/>
      </w:pPr>
    </w:lvl>
    <w:lvl w:ilvl="8" w:tentative="0">
      <w:start w:val="1"/>
      <w:numFmt w:val="lowerRoman"/>
      <w:lvlText w:val="%9."/>
      <w:lvlJc w:val="right"/>
      <w:pPr>
        <w:ind w:left="5080" w:hanging="420"/>
      </w:pPr>
    </w:lvl>
  </w:abstractNum>
  <w:abstractNum w:abstractNumId="2">
    <w:nsid w:val="78133651"/>
    <w:multiLevelType w:val="multilevel"/>
    <w:tmpl w:val="78133651"/>
    <w:lvl w:ilvl="0" w:tentative="0">
      <w:start w:val="0"/>
      <w:numFmt w:val="bullet"/>
      <w:lvlText w:val="●"/>
      <w:lvlJc w:val="left"/>
      <w:pPr>
        <w:ind w:left="420" w:hanging="420"/>
      </w:pPr>
      <w:rPr>
        <w:rFonts w:hint="default" w:ascii="黑体" w:hAnsi="黑体" w:eastAsia="黑体" w:cs="黑体"/>
        <w:w w:val="100"/>
        <w:sz w:val="22"/>
        <w:szCs w:val="22"/>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ZWRmYTJjZTAxZWYzN2RlODRkZTdjOTgxYmEwZmVhMjQifQ=="/>
  </w:docVars>
  <w:rsids>
    <w:rsidRoot w:val="00C805ED"/>
    <w:rsid w:val="00005CFA"/>
    <w:rsid w:val="00006CCD"/>
    <w:rsid w:val="00020601"/>
    <w:rsid w:val="000426B5"/>
    <w:rsid w:val="00060024"/>
    <w:rsid w:val="00073B44"/>
    <w:rsid w:val="000933EA"/>
    <w:rsid w:val="00093C5B"/>
    <w:rsid w:val="00096080"/>
    <w:rsid w:val="000B1E00"/>
    <w:rsid w:val="000C669D"/>
    <w:rsid w:val="00104212"/>
    <w:rsid w:val="0011373F"/>
    <w:rsid w:val="00151AB7"/>
    <w:rsid w:val="001542C2"/>
    <w:rsid w:val="001614F5"/>
    <w:rsid w:val="00176650"/>
    <w:rsid w:val="00194991"/>
    <w:rsid w:val="001A1BF6"/>
    <w:rsid w:val="001A1CA2"/>
    <w:rsid w:val="002008F8"/>
    <w:rsid w:val="002422FF"/>
    <w:rsid w:val="00251BC0"/>
    <w:rsid w:val="0025206C"/>
    <w:rsid w:val="00255080"/>
    <w:rsid w:val="00290777"/>
    <w:rsid w:val="00295A6B"/>
    <w:rsid w:val="002A7CFD"/>
    <w:rsid w:val="002F4145"/>
    <w:rsid w:val="00305608"/>
    <w:rsid w:val="003131B3"/>
    <w:rsid w:val="003215E8"/>
    <w:rsid w:val="003256C0"/>
    <w:rsid w:val="00346A3D"/>
    <w:rsid w:val="00347595"/>
    <w:rsid w:val="00396B2D"/>
    <w:rsid w:val="003C0682"/>
    <w:rsid w:val="003D1118"/>
    <w:rsid w:val="004068CF"/>
    <w:rsid w:val="00420806"/>
    <w:rsid w:val="004471E3"/>
    <w:rsid w:val="00450F0D"/>
    <w:rsid w:val="00457F06"/>
    <w:rsid w:val="004D1B1B"/>
    <w:rsid w:val="004E790C"/>
    <w:rsid w:val="00522F8E"/>
    <w:rsid w:val="0053351E"/>
    <w:rsid w:val="00533FC3"/>
    <w:rsid w:val="00557FE7"/>
    <w:rsid w:val="005649E4"/>
    <w:rsid w:val="00565579"/>
    <w:rsid w:val="0056769A"/>
    <w:rsid w:val="005C12A2"/>
    <w:rsid w:val="005C5E66"/>
    <w:rsid w:val="006055EA"/>
    <w:rsid w:val="00611920"/>
    <w:rsid w:val="0063647E"/>
    <w:rsid w:val="00682326"/>
    <w:rsid w:val="0069669C"/>
    <w:rsid w:val="0069794B"/>
    <w:rsid w:val="006A04A7"/>
    <w:rsid w:val="006A4E2F"/>
    <w:rsid w:val="006E3951"/>
    <w:rsid w:val="007230D9"/>
    <w:rsid w:val="00765DFF"/>
    <w:rsid w:val="007720CB"/>
    <w:rsid w:val="00774F89"/>
    <w:rsid w:val="007809FA"/>
    <w:rsid w:val="00780A5D"/>
    <w:rsid w:val="007A3807"/>
    <w:rsid w:val="00803BE0"/>
    <w:rsid w:val="00817BA1"/>
    <w:rsid w:val="008669A2"/>
    <w:rsid w:val="00880488"/>
    <w:rsid w:val="008A1A29"/>
    <w:rsid w:val="008B7530"/>
    <w:rsid w:val="008D2A97"/>
    <w:rsid w:val="008E1835"/>
    <w:rsid w:val="00902A4D"/>
    <w:rsid w:val="00926C87"/>
    <w:rsid w:val="00935263"/>
    <w:rsid w:val="00947048"/>
    <w:rsid w:val="0096325E"/>
    <w:rsid w:val="009704BF"/>
    <w:rsid w:val="00975DD7"/>
    <w:rsid w:val="00991305"/>
    <w:rsid w:val="00992033"/>
    <w:rsid w:val="00992EBA"/>
    <w:rsid w:val="009F11C9"/>
    <w:rsid w:val="00A01110"/>
    <w:rsid w:val="00A16813"/>
    <w:rsid w:val="00A42FE6"/>
    <w:rsid w:val="00A55766"/>
    <w:rsid w:val="00A66648"/>
    <w:rsid w:val="00A71352"/>
    <w:rsid w:val="00A93AF9"/>
    <w:rsid w:val="00AD01D6"/>
    <w:rsid w:val="00AD1C84"/>
    <w:rsid w:val="00AE406B"/>
    <w:rsid w:val="00B63C94"/>
    <w:rsid w:val="00B64E8A"/>
    <w:rsid w:val="00B75B73"/>
    <w:rsid w:val="00C055D7"/>
    <w:rsid w:val="00C0619C"/>
    <w:rsid w:val="00C30086"/>
    <w:rsid w:val="00C35001"/>
    <w:rsid w:val="00C44E7D"/>
    <w:rsid w:val="00C805ED"/>
    <w:rsid w:val="00CB7537"/>
    <w:rsid w:val="00D15FD5"/>
    <w:rsid w:val="00D22338"/>
    <w:rsid w:val="00D2327C"/>
    <w:rsid w:val="00D248E7"/>
    <w:rsid w:val="00D377A4"/>
    <w:rsid w:val="00D716C5"/>
    <w:rsid w:val="00D8367B"/>
    <w:rsid w:val="00D86DA9"/>
    <w:rsid w:val="00D97451"/>
    <w:rsid w:val="00DB3A3A"/>
    <w:rsid w:val="00DC20E1"/>
    <w:rsid w:val="00DC7E98"/>
    <w:rsid w:val="00DF7139"/>
    <w:rsid w:val="00E07209"/>
    <w:rsid w:val="00E11B55"/>
    <w:rsid w:val="00E26E91"/>
    <w:rsid w:val="00E46F54"/>
    <w:rsid w:val="00E570B7"/>
    <w:rsid w:val="00EB4B3C"/>
    <w:rsid w:val="00ED70E6"/>
    <w:rsid w:val="00EE6424"/>
    <w:rsid w:val="00F03034"/>
    <w:rsid w:val="00F8236E"/>
    <w:rsid w:val="00F83E05"/>
    <w:rsid w:val="00FA0022"/>
    <w:rsid w:val="00FC6248"/>
    <w:rsid w:val="00FD21C1"/>
    <w:rsid w:val="037F04A5"/>
    <w:rsid w:val="42F609C1"/>
    <w:rsid w:val="448D0898"/>
    <w:rsid w:val="4F70705C"/>
    <w:rsid w:val="6280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ind w:left="1300"/>
      <w:outlineLvl w:val="0"/>
    </w:pPr>
    <w:rPr>
      <w:sz w:val="24"/>
      <w:szCs w:val="24"/>
    </w:rPr>
  </w:style>
  <w:style w:type="paragraph" w:styleId="3">
    <w:name w:val="heading 2"/>
    <w:basedOn w:val="1"/>
    <w:next w:val="1"/>
    <w:qFormat/>
    <w:uiPriority w:val="1"/>
    <w:pPr>
      <w:spacing w:before="33"/>
      <w:ind w:left="1340"/>
      <w:outlineLvl w:val="1"/>
    </w:pPr>
    <w:rPr>
      <w:b/>
      <w:bCs/>
      <w:sz w:val="20"/>
      <w:szCs w:val="20"/>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0"/>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1"/>
    <w:pPr>
      <w:ind w:left="2258" w:right="2259"/>
      <w:jc w:val="center"/>
    </w:pPr>
    <w:rPr>
      <w:rFonts w:ascii="Calibri" w:hAnsi="Calibri" w:eastAsia="Calibri" w:cs="Calibri"/>
      <w:b/>
      <w:bCs/>
      <w:sz w:val="28"/>
      <w:szCs w:val="28"/>
    </w:rPr>
  </w:style>
  <w:style w:type="character" w:styleId="11">
    <w:name w:val="Hyperlink"/>
    <w:basedOn w:val="10"/>
    <w:unhideWhenUsed/>
    <w:uiPriority w:val="99"/>
    <w:rPr>
      <w:color w:val="0000FF" w:themeColor="hyperlink"/>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99"/>
    <w:pPr>
      <w:spacing w:before="67"/>
      <w:ind w:left="1661" w:hanging="241"/>
    </w:pPr>
  </w:style>
  <w:style w:type="paragraph" w:customStyle="1" w:styleId="14">
    <w:name w:val="Table Paragraph"/>
    <w:basedOn w:val="1"/>
    <w:qFormat/>
    <w:uiPriority w:val="1"/>
    <w:rPr>
      <w:rFonts w:ascii="仿宋" w:hAnsi="仿宋" w:eastAsia="仿宋" w:cs="仿宋"/>
    </w:rPr>
  </w:style>
  <w:style w:type="character" w:customStyle="1" w:styleId="15">
    <w:name w:val="页眉 Char"/>
    <w:basedOn w:val="10"/>
    <w:link w:val="7"/>
    <w:qFormat/>
    <w:uiPriority w:val="99"/>
    <w:rPr>
      <w:rFonts w:ascii="Times New Roman" w:hAnsi="Times New Roman" w:eastAsia="Times New Roman" w:cs="Times New Roman"/>
      <w:sz w:val="18"/>
      <w:szCs w:val="18"/>
      <w:lang w:bidi="en-US"/>
    </w:rPr>
  </w:style>
  <w:style w:type="character" w:customStyle="1" w:styleId="16">
    <w:name w:val="页脚 Char"/>
    <w:basedOn w:val="10"/>
    <w:link w:val="6"/>
    <w:uiPriority w:val="99"/>
    <w:rPr>
      <w:rFonts w:ascii="Times New Roman" w:hAnsi="Times New Roman" w:eastAsia="Times New Roman" w:cs="Times New Roman"/>
      <w:sz w:val="18"/>
      <w:szCs w:val="18"/>
      <w:lang w:bidi="en-US"/>
    </w:rPr>
  </w:style>
  <w:style w:type="character" w:customStyle="1" w:styleId="17">
    <w:name w:val="批注框文本 Char"/>
    <w:basedOn w:val="10"/>
    <w:link w:val="5"/>
    <w:semiHidden/>
    <w:uiPriority w:val="99"/>
    <w:rPr>
      <w:rFonts w:ascii="Times New Roman" w:hAnsi="Times New Roman" w:eastAsia="Times New Roman" w:cs="Times New Roman"/>
      <w:sz w:val="18"/>
      <w:szCs w:val="18"/>
      <w:lang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8</Pages>
  <Words>3375</Words>
  <Characters>6994</Characters>
  <Lines>58</Lines>
  <Paragraphs>16</Paragraphs>
  <TotalTime>0</TotalTime>
  <ScaleCrop>false</ScaleCrop>
  <LinksUpToDate>false</LinksUpToDate>
  <CharactersWithSpaces>7638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2019-07-29T09:11:00Z</dcterms:created>
  <dc:creator>juvg</dc:creator>
  <cp:lastModifiedBy>Administrator</cp:lastModifiedBy>
  <dcterms:modified xsi:type="dcterms:W3CDTF">2022-11-28T04:20:18Z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Aspose Ltd.</vt:lpwstr>
  </property>
  <property fmtid="{D5CDD505-2E9C-101B-9397-08002B2CF9AE}" pid="4" name="LastSaved">
    <vt:filetime>2019-07-29T00:00:00Z</vt:filetime>
  </property>
  <property fmtid="{D5CDD505-2E9C-101B-9397-08002B2CF9AE}" pid="5" name="KSOProductBuildVer">
    <vt:lpwstr>2052-11.1.0.12763</vt:lpwstr>
  </property>
  <property fmtid="{D5CDD505-2E9C-101B-9397-08002B2CF9AE}" pid="6" name="ICV">
    <vt:lpwstr>EE4F6CF5604A453DB75C24450EB9CFE7</vt:lpwstr>
  </property>
</Properties>
</file>