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【中国文化概论】</w:t>
      </w:r>
    </w:p>
    <w:p>
      <w:pPr>
        <w:shd w:val="clear" w:color="auto" w:fill="F5F5F5"/>
        <w:jc w:val="center"/>
        <w:textAlignment w:val="top"/>
        <w:rPr>
          <w:rFonts w:ascii="Arial" w:hAnsi="Arial" w:cs="Arial"/>
          <w:color w:val="888888"/>
          <w:kern w:val="0"/>
          <w:sz w:val="20"/>
          <w:szCs w:val="20"/>
        </w:rPr>
      </w:pPr>
      <w:r>
        <w:rPr>
          <w:rFonts w:hint="eastAsia"/>
          <w:b/>
          <w:sz w:val="28"/>
          <w:szCs w:val="30"/>
        </w:rPr>
        <w:t>【Understanding Chinese Culture】</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2020452</w:t>
      </w:r>
      <w:r>
        <w:rPr>
          <w:color w:val="000000"/>
          <w:sz w:val="20"/>
          <w:szCs w:val="20"/>
        </w:rPr>
        <w:t>】</w:t>
      </w:r>
    </w:p>
    <w:p>
      <w:pPr>
        <w:snapToGrid w:val="0"/>
        <w:spacing w:line="288" w:lineRule="auto"/>
        <w:ind w:firstLine="394" w:firstLineChars="196"/>
        <w:rPr>
          <w:color w:val="000000"/>
          <w:sz w:val="40"/>
          <w:szCs w:val="40"/>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英语专业（商务）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选修课</w:t>
      </w:r>
      <w:r>
        <w:rPr>
          <w:color w:val="000000"/>
          <w:sz w:val="20"/>
          <w:szCs w:val="20"/>
        </w:rPr>
        <w:t>】</w:t>
      </w:r>
      <w:r>
        <w:rPr>
          <w:rFonts w:hint="eastAsia"/>
          <w:color w:val="000000"/>
          <w:sz w:val="20"/>
          <w:szCs w:val="20"/>
        </w:rPr>
        <w:t xml:space="preserve"> </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外国语学院英语系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《中国概况（英文版）》 上海外语教育出版社</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 xml:space="preserve">《中国概况（中文版）》上海外语教育出版社；《中国文化概论》 北京师范大学出版社；《中国文化概况》外语教学与研究出版社  </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w:t>
      </w:r>
      <w:r>
        <w:rPr>
          <w:b/>
          <w:bCs/>
          <w:color w:val="000000"/>
          <w:sz w:val="20"/>
          <w:szCs w:val="20"/>
        </w:rPr>
        <w:t>https://elearning.gench.edu.cn:8443/webapps/blackboard/execute/content/file?cmd=view&amp;mode=designer&amp;content_id=_164256_1&amp;course_id=_17791_1&amp;framesetWrapped=true</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bookmarkStart w:id="1" w:name="_GoBack"/>
      <w:bookmarkEnd w:id="1"/>
    </w:p>
    <w:p>
      <w:pPr>
        <w:snapToGrid w:val="0"/>
        <w:spacing w:line="288" w:lineRule="auto"/>
        <w:ind w:firstLine="400" w:firstLineChars="200"/>
        <w:rPr>
          <w:sz w:val="20"/>
          <w:szCs w:val="20"/>
        </w:rPr>
      </w:pPr>
      <w:r>
        <w:rPr>
          <w:rFonts w:hint="eastAsia"/>
          <w:sz w:val="20"/>
          <w:szCs w:val="20"/>
        </w:rPr>
        <w:t>按照</w:t>
      </w:r>
      <w:r>
        <w:rPr>
          <w:rFonts w:hint="eastAsia" w:asciiTheme="minorEastAsia" w:hAnsiTheme="minorEastAsia"/>
          <w:bCs/>
          <w:sz w:val="20"/>
          <w:szCs w:val="20"/>
        </w:rPr>
        <w:t>英语本科(商务)培养计划，</w:t>
      </w:r>
      <w:r>
        <w:rPr>
          <w:rFonts w:hint="eastAsia"/>
          <w:sz w:val="20"/>
          <w:szCs w:val="20"/>
        </w:rPr>
        <w:t>毕业生应具备扎实的英语语言基础和商务知识、良好的人文素养、较强的商务管理能力，善于跨文化交流与沟通，能够比较熟练地运用英语从事商务、管理等相关职业的工作。除了相关理论知识和较强的商务实际操作能力之外，他们还需具备较强的跨文化</w:t>
      </w:r>
      <w:r>
        <w:rPr>
          <w:rFonts w:hint="eastAsia" w:ascii="宋体" w:hAnsi="宋体" w:cs="DFKaiShu-SB-Estd-BF"/>
          <w:kern w:val="0"/>
          <w:sz w:val="20"/>
          <w:szCs w:val="20"/>
        </w:rPr>
        <w:t>商务沟通</w:t>
      </w:r>
      <w:r>
        <w:rPr>
          <w:rFonts w:hint="eastAsia"/>
          <w:sz w:val="20"/>
          <w:szCs w:val="20"/>
        </w:rPr>
        <w:t>能力。</w:t>
      </w:r>
    </w:p>
    <w:p>
      <w:pPr>
        <w:snapToGrid w:val="0"/>
        <w:spacing w:line="288" w:lineRule="auto"/>
        <w:ind w:firstLine="400" w:firstLineChars="200"/>
        <w:rPr>
          <w:color w:val="000000"/>
          <w:sz w:val="20"/>
          <w:szCs w:val="20"/>
        </w:rPr>
      </w:pPr>
      <w:r>
        <w:rPr>
          <w:rFonts w:hint="eastAsia" w:ascii="宋体" w:hAnsi="宋体" w:cs="宋体"/>
          <w:kern w:val="0"/>
          <w:sz w:val="20"/>
          <w:szCs w:val="20"/>
        </w:rPr>
        <w:t>中国文化概论作为文化类选修课，帮助学生全面，系统，客观地学习和了解他们所处的母语文化。随着中国经济的快速发展和国际交往的日益增加，中国不仅是世界经济和文化不可或缺的重要组成部分，也是世界经济文件发展的重要推动力量。该门课程在学生原有的生活经验和历史地理知识基础上，更加深入和广泛地向他们介绍中国文化，以及中国文化与世界文化之间的连接。这有助于学生更加热爱祖国，热爱中国文化，并且在跨文化商务沟通中能够立足更稳，视野更广</w:t>
      </w:r>
      <w:r>
        <w:rPr>
          <w:rFonts w:hint="eastAsia"/>
          <w:sz w:val="20"/>
          <w:szCs w:val="20"/>
        </w:rPr>
        <w:t>。本课程为理论课，总学时32，共计2学分。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该课程需要学生具备一定中国文化常识，并有较好的自学能力和学习习惯。</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086" w:tblpY="242"/>
        <w:tblOverlap w:val="never"/>
        <w:tblW w:w="7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2"/>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rPr>
                <w:kern w:val="0"/>
                <w:sz w:val="20"/>
                <w:szCs w:val="20"/>
              </w:rPr>
            </w:pPr>
            <w:r>
              <w:rPr>
                <w:rFonts w:hint="eastAsia" w:ascii="仿宋" w:hAnsi="仿宋" w:eastAsia="仿宋" w:cs="宋体"/>
                <w:color w:val="000000"/>
                <w:kern w:val="0"/>
                <w:sz w:val="24"/>
                <w:szCs w:val="24"/>
              </w:rPr>
              <w:t>LO11：</w:t>
            </w:r>
            <w:r>
              <w:rPr>
                <w:rFonts w:hint="eastAsia" w:ascii="仿宋" w:hAnsi="仿宋" w:eastAsia="仿宋" w:cs="宋体"/>
                <w:color w:val="000000"/>
                <w:kern w:val="0"/>
                <w:sz w:val="24"/>
              </w:rPr>
              <w:t>理解他人的观点，尊重他人的价值观，能在不同场合用书面或口头形式进行有效沟通</w:t>
            </w:r>
            <w:r>
              <w:rPr>
                <w:rFonts w:hint="eastAsia" w:ascii="仿宋" w:hAnsi="仿宋" w:eastAsia="仿宋" w:cs="宋体"/>
                <w:color w:val="000000"/>
                <w:kern w:val="0"/>
                <w:sz w:val="24"/>
                <w:szCs w:val="24"/>
              </w:rPr>
              <w:t>。</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rPr>
              <w:t>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kern w:val="0"/>
                <w:sz w:val="20"/>
                <w:szCs w:val="20"/>
              </w:rPr>
            </w:pPr>
            <w:r>
              <w:rPr>
                <w:rFonts w:hint="eastAsia" w:ascii="仿宋" w:hAnsi="仿宋" w:eastAsia="仿宋" w:cs="宋体"/>
                <w:color w:val="000000"/>
                <w:kern w:val="0"/>
                <w:sz w:val="24"/>
                <w:szCs w:val="24"/>
              </w:rPr>
              <w:t>LO31：</w:t>
            </w:r>
            <w:r>
              <w:rPr>
                <w:rFonts w:hint="eastAsia" w:ascii="仿宋" w:hAnsi="仿宋" w:eastAsia="仿宋" w:cs="宋体"/>
                <w:color w:val="000000"/>
                <w:kern w:val="0"/>
                <w:sz w:val="24"/>
              </w:rPr>
              <w:t>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hint="eastAsia" w:ascii="仿宋" w:hAnsi="仿宋" w:eastAsia="仿宋" w:cs="宋体"/>
                <w:color w:val="000000"/>
                <w:kern w:val="0"/>
                <w:sz w:val="24"/>
              </w:rPr>
              <w:t>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hint="eastAsia" w:ascii="仿宋" w:hAnsi="仿宋" w:eastAsia="仿宋" w:cs="宋体"/>
                <w:color w:val="000000"/>
                <w:kern w:val="0"/>
                <w:sz w:val="24"/>
              </w:rPr>
              <w:t>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hint="eastAsia" w:ascii="仿宋" w:hAnsi="仿宋" w:eastAsia="仿宋" w:cs="宋体"/>
                <w:color w:val="000000"/>
                <w:kern w:val="0"/>
                <w:sz w:val="24"/>
              </w:rPr>
              <w:t>掌握商务实践知识，具有较强的外贸实务操作能力。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kern w:val="0"/>
                <w:sz w:val="20"/>
                <w:szCs w:val="20"/>
              </w:rPr>
            </w:pPr>
            <w:r>
              <w:rPr>
                <w:rFonts w:hint="eastAsia" w:ascii="仿宋" w:hAnsi="仿宋" w:eastAsia="仿宋" w:cs="宋体"/>
                <w:color w:val="000000"/>
                <w:kern w:val="0"/>
                <w:sz w:val="24"/>
                <w:szCs w:val="24"/>
              </w:rPr>
              <w:t>LO41：</w:t>
            </w:r>
            <w:r>
              <w:rPr>
                <w:rFonts w:hint="eastAsia" w:ascii="仿宋" w:hAnsi="仿宋" w:eastAsia="仿宋" w:cs="宋体"/>
                <w:color w:val="000000"/>
                <w:kern w:val="0"/>
                <w:sz w:val="24"/>
              </w:rPr>
              <w:t>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kern w:val="0"/>
                <w:sz w:val="20"/>
                <w:szCs w:val="20"/>
              </w:rPr>
            </w:pPr>
            <w:r>
              <w:rPr>
                <w:rFonts w:hint="eastAsia" w:ascii="仿宋" w:hAnsi="仿宋" w:eastAsia="仿宋" w:cs="宋体"/>
                <w:color w:val="000000"/>
                <w:kern w:val="0"/>
                <w:sz w:val="24"/>
                <w:szCs w:val="24"/>
              </w:rPr>
              <w:t>LO51：</w:t>
            </w:r>
            <w:r>
              <w:rPr>
                <w:rFonts w:hint="eastAsia" w:ascii="仿宋" w:hAnsi="仿宋" w:eastAsia="仿宋" w:cs="宋体"/>
                <w:color w:val="000000"/>
                <w:kern w:val="0"/>
                <w:sz w:val="24"/>
              </w:rPr>
              <w:t>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2" w:type="dxa"/>
            <w:vAlign w:val="center"/>
          </w:tcPr>
          <w:p>
            <w:pPr>
              <w:widowControl/>
              <w:rPr>
                <w:kern w:val="0"/>
                <w:sz w:val="20"/>
                <w:szCs w:val="20"/>
              </w:rPr>
            </w:pPr>
            <w:r>
              <w:rPr>
                <w:rFonts w:hint="eastAsia" w:ascii="仿宋" w:hAnsi="仿宋" w:eastAsia="仿宋" w:cs="宋体"/>
                <w:color w:val="000000"/>
                <w:kern w:val="0"/>
                <w:sz w:val="24"/>
                <w:szCs w:val="24"/>
              </w:rPr>
              <w:t>LO61：</w:t>
            </w:r>
            <w:r>
              <w:rPr>
                <w:rFonts w:hint="eastAsia" w:ascii="仿宋" w:hAnsi="仿宋" w:eastAsia="仿宋" w:cs="宋体"/>
                <w:color w:val="000000"/>
                <w:kern w:val="0"/>
                <w:sz w:val="24"/>
              </w:rPr>
              <w:t>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kern w:val="0"/>
                <w:sz w:val="20"/>
                <w:szCs w:val="20"/>
              </w:rPr>
            </w:pPr>
            <w:r>
              <w:rPr>
                <w:rFonts w:hint="eastAsia" w:ascii="仿宋" w:hAnsi="仿宋" w:eastAsia="仿宋" w:cs="宋体"/>
                <w:color w:val="000000"/>
                <w:kern w:val="0"/>
                <w:sz w:val="24"/>
                <w:szCs w:val="24"/>
              </w:rPr>
              <w:t>LO71：</w:t>
            </w:r>
            <w:r>
              <w:rPr>
                <w:rFonts w:hint="eastAsia" w:ascii="仿宋" w:hAnsi="仿宋" w:eastAsia="仿宋"/>
                <w:sz w:val="24"/>
              </w:rPr>
              <w:t>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vAlign w:val="center"/>
          </w:tcPr>
          <w:p>
            <w:pPr>
              <w:widowControl/>
              <w:rPr>
                <w:kern w:val="0"/>
                <w:sz w:val="20"/>
                <w:szCs w:val="20"/>
              </w:rPr>
            </w:pPr>
            <w:r>
              <w:rPr>
                <w:rFonts w:hint="eastAsia" w:ascii="仿宋" w:hAnsi="仿宋" w:eastAsia="仿宋" w:cs="宋体"/>
                <w:color w:val="000000"/>
                <w:kern w:val="0"/>
                <w:sz w:val="24"/>
                <w:szCs w:val="24"/>
              </w:rPr>
              <w:t>LO81：</w:t>
            </w:r>
            <w:r>
              <w:rPr>
                <w:rFonts w:hint="eastAsia" w:ascii="仿宋" w:hAnsi="仿宋" w:eastAsia="仿宋" w:cs="宋体"/>
                <w:color w:val="000000"/>
                <w:kern w:val="0"/>
                <w:sz w:val="24"/>
              </w:rPr>
              <w:t>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2552"/>
        <w:gridCol w:w="24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418"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5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40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98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3"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418"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LO112</w:t>
            </w:r>
          </w:p>
        </w:tc>
        <w:tc>
          <w:tcPr>
            <w:tcW w:w="2552"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熟练使用英语来介绍中国文化，并能在与他人谈话中准确得体表达自己的意思</w:t>
            </w:r>
          </w:p>
        </w:tc>
        <w:tc>
          <w:tcPr>
            <w:tcW w:w="240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根据课程内容布置话题相关作业，在课堂上以口语及书面形式展示，由老师同学点评</w:t>
            </w:r>
          </w:p>
        </w:tc>
        <w:tc>
          <w:tcPr>
            <w:tcW w:w="1985"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相关话题口语听力及写作练习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3" w:type="dxa"/>
          </w:tcPr>
          <w:p>
            <w:pPr>
              <w:snapToGrid w:val="0"/>
              <w:spacing w:line="288" w:lineRule="auto"/>
              <w:rPr>
                <w:rFonts w:ascii="仿宋" w:hAnsi="仿宋" w:eastAsia="仿宋"/>
                <w:sz w:val="20"/>
                <w:szCs w:val="20"/>
              </w:rPr>
            </w:pPr>
            <w:r>
              <w:rPr>
                <w:rFonts w:hint="eastAsia" w:ascii="仿宋" w:hAnsi="仿宋" w:eastAsia="仿宋"/>
                <w:sz w:val="20"/>
                <w:szCs w:val="20"/>
              </w:rPr>
              <w:t>2</w:t>
            </w:r>
          </w:p>
        </w:tc>
        <w:tc>
          <w:tcPr>
            <w:tcW w:w="1418" w:type="dxa"/>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LO212</w:t>
            </w:r>
          </w:p>
        </w:tc>
        <w:tc>
          <w:tcPr>
            <w:tcW w:w="2552" w:type="dxa"/>
          </w:tcPr>
          <w:p>
            <w:pPr>
              <w:snapToGrid w:val="0"/>
              <w:spacing w:line="288" w:lineRule="auto"/>
              <w:rPr>
                <w:rFonts w:ascii="仿宋" w:hAnsi="仿宋" w:eastAsia="仿宋"/>
                <w:sz w:val="20"/>
                <w:szCs w:val="20"/>
              </w:rPr>
            </w:pPr>
            <w:r>
              <w:rPr>
                <w:rFonts w:hint="eastAsia" w:ascii="仿宋" w:hAnsi="仿宋" w:eastAsia="仿宋"/>
                <w:sz w:val="20"/>
                <w:szCs w:val="20"/>
              </w:rPr>
              <w:t>能够搜集获取达到学习目标所需要的学习资源，实施学习计划</w:t>
            </w:r>
          </w:p>
        </w:tc>
        <w:tc>
          <w:tcPr>
            <w:tcW w:w="2409" w:type="dxa"/>
          </w:tcPr>
          <w:p>
            <w:pPr>
              <w:snapToGrid w:val="0"/>
              <w:spacing w:line="288" w:lineRule="auto"/>
              <w:rPr>
                <w:rFonts w:ascii="仿宋" w:hAnsi="仿宋" w:eastAsia="仿宋"/>
                <w:sz w:val="20"/>
                <w:szCs w:val="20"/>
              </w:rPr>
            </w:pPr>
            <w:r>
              <w:rPr>
                <w:rFonts w:hint="eastAsia" w:ascii="仿宋" w:hAnsi="仿宋" w:eastAsia="仿宋"/>
                <w:sz w:val="20"/>
                <w:szCs w:val="20"/>
              </w:rPr>
              <w:t>根据自己的学习计划，有目的地搜集和利用相关参考资料进行学习</w:t>
            </w:r>
          </w:p>
        </w:tc>
        <w:tc>
          <w:tcPr>
            <w:tcW w:w="1985" w:type="dxa"/>
          </w:tcPr>
          <w:p>
            <w:pPr>
              <w:snapToGrid w:val="0"/>
              <w:spacing w:line="288" w:lineRule="auto"/>
              <w:rPr>
                <w:rFonts w:ascii="仿宋" w:hAnsi="仿宋" w:eastAsia="仿宋"/>
                <w:sz w:val="20"/>
                <w:szCs w:val="20"/>
              </w:rPr>
            </w:pPr>
            <w:r>
              <w:rPr>
                <w:rFonts w:hint="eastAsia" w:ascii="仿宋" w:hAnsi="仿宋" w:eastAsia="仿宋"/>
                <w:sz w:val="20"/>
                <w:szCs w:val="20"/>
              </w:rPr>
              <w:t>相关话题口语听力及写作练习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3" w:type="dxa"/>
          </w:tcPr>
          <w:p>
            <w:pPr>
              <w:snapToGrid w:val="0"/>
              <w:spacing w:line="288" w:lineRule="auto"/>
              <w:rPr>
                <w:rFonts w:ascii="仿宋" w:hAnsi="仿宋" w:eastAsia="仿宋"/>
                <w:sz w:val="20"/>
                <w:szCs w:val="20"/>
              </w:rPr>
            </w:pPr>
            <w:r>
              <w:rPr>
                <w:rFonts w:hint="eastAsia" w:ascii="仿宋" w:hAnsi="仿宋" w:eastAsia="仿宋"/>
                <w:sz w:val="20"/>
                <w:szCs w:val="20"/>
              </w:rPr>
              <w:t>3</w:t>
            </w:r>
          </w:p>
        </w:tc>
        <w:tc>
          <w:tcPr>
            <w:tcW w:w="1418" w:type="dxa"/>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LO331</w:t>
            </w:r>
          </w:p>
        </w:tc>
        <w:tc>
          <w:tcPr>
            <w:tcW w:w="2552" w:type="dxa"/>
          </w:tcPr>
          <w:p>
            <w:pPr>
              <w:snapToGrid w:val="0"/>
              <w:spacing w:line="288" w:lineRule="auto"/>
              <w:rPr>
                <w:rFonts w:ascii="仿宋" w:hAnsi="仿宋" w:eastAsia="仿宋"/>
                <w:sz w:val="20"/>
                <w:szCs w:val="20"/>
              </w:rPr>
            </w:pPr>
            <w:r>
              <w:rPr>
                <w:rFonts w:hint="eastAsia" w:ascii="仿宋" w:hAnsi="仿宋" w:eastAsia="仿宋"/>
                <w:sz w:val="20"/>
                <w:szCs w:val="20"/>
              </w:rPr>
              <w:t>了解中国文化中的主要观点概念和思想流派，形成对母语文化的深入理解</w:t>
            </w:r>
          </w:p>
        </w:tc>
        <w:tc>
          <w:tcPr>
            <w:tcW w:w="2409" w:type="dxa"/>
          </w:tcPr>
          <w:p>
            <w:pPr>
              <w:snapToGrid w:val="0"/>
              <w:spacing w:line="288" w:lineRule="auto"/>
              <w:rPr>
                <w:rFonts w:ascii="仿宋" w:hAnsi="仿宋" w:eastAsia="仿宋"/>
                <w:sz w:val="20"/>
                <w:szCs w:val="20"/>
              </w:rPr>
            </w:pPr>
            <w:r>
              <w:rPr>
                <w:rFonts w:hint="eastAsia" w:ascii="仿宋" w:hAnsi="仿宋" w:eastAsia="仿宋"/>
                <w:sz w:val="20"/>
                <w:szCs w:val="20"/>
              </w:rPr>
              <w:t>学习课文相关部分内容，结合平时积累，与老师同学进行讨论</w:t>
            </w:r>
          </w:p>
        </w:tc>
        <w:tc>
          <w:tcPr>
            <w:tcW w:w="1985" w:type="dxa"/>
          </w:tcPr>
          <w:p>
            <w:pPr>
              <w:snapToGrid w:val="0"/>
              <w:spacing w:line="288" w:lineRule="auto"/>
              <w:rPr>
                <w:rFonts w:ascii="仿宋" w:hAnsi="仿宋" w:eastAsia="仿宋"/>
                <w:sz w:val="20"/>
                <w:szCs w:val="20"/>
              </w:rPr>
            </w:pPr>
            <w:r>
              <w:rPr>
                <w:rFonts w:hint="eastAsia" w:ascii="仿宋" w:hAnsi="仿宋" w:eastAsia="仿宋"/>
                <w:sz w:val="20"/>
                <w:szCs w:val="20"/>
              </w:rPr>
              <w:t>相关话题口语听力及写作练习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3" w:type="dxa"/>
          </w:tcPr>
          <w:p>
            <w:pPr>
              <w:snapToGrid w:val="0"/>
              <w:spacing w:line="288" w:lineRule="auto"/>
              <w:rPr>
                <w:rFonts w:ascii="仿宋" w:hAnsi="仿宋" w:eastAsia="仿宋"/>
                <w:sz w:val="20"/>
                <w:szCs w:val="20"/>
              </w:rPr>
            </w:pPr>
            <w:r>
              <w:rPr>
                <w:rFonts w:hint="eastAsia" w:ascii="仿宋" w:hAnsi="仿宋" w:eastAsia="仿宋"/>
                <w:sz w:val="20"/>
                <w:szCs w:val="20"/>
              </w:rPr>
              <w:t>4</w:t>
            </w:r>
          </w:p>
        </w:tc>
        <w:tc>
          <w:tcPr>
            <w:tcW w:w="1418" w:type="dxa"/>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L0711</w:t>
            </w:r>
          </w:p>
        </w:tc>
        <w:tc>
          <w:tcPr>
            <w:tcW w:w="2552" w:type="dxa"/>
          </w:tcPr>
          <w:p>
            <w:pPr>
              <w:snapToGrid w:val="0"/>
              <w:spacing w:line="288" w:lineRule="auto"/>
              <w:rPr>
                <w:rFonts w:ascii="仿宋" w:hAnsi="仿宋" w:eastAsia="仿宋"/>
                <w:sz w:val="20"/>
                <w:szCs w:val="20"/>
              </w:rPr>
            </w:pPr>
            <w:r>
              <w:rPr>
                <w:rFonts w:hint="eastAsia" w:ascii="仿宋" w:hAnsi="仿宋" w:eastAsia="仿宋"/>
                <w:sz w:val="20"/>
                <w:szCs w:val="20"/>
              </w:rPr>
              <w:t>了解祖国的优秀传统文化，构建热爱祖国的信念</w:t>
            </w:r>
          </w:p>
        </w:tc>
        <w:tc>
          <w:tcPr>
            <w:tcW w:w="2409" w:type="dxa"/>
          </w:tcPr>
          <w:p>
            <w:pPr>
              <w:snapToGrid w:val="0"/>
              <w:spacing w:line="288" w:lineRule="auto"/>
              <w:rPr>
                <w:rFonts w:ascii="仿宋" w:hAnsi="仿宋" w:eastAsia="仿宋"/>
                <w:sz w:val="20"/>
                <w:szCs w:val="20"/>
              </w:rPr>
            </w:pPr>
            <w:r>
              <w:rPr>
                <w:rFonts w:hint="eastAsia" w:ascii="仿宋" w:hAnsi="仿宋" w:eastAsia="仿宋"/>
                <w:sz w:val="20"/>
                <w:szCs w:val="20"/>
              </w:rPr>
              <w:t>安排与课程内容相关社会实践调查</w:t>
            </w:r>
          </w:p>
        </w:tc>
        <w:tc>
          <w:tcPr>
            <w:tcW w:w="1985" w:type="dxa"/>
          </w:tcPr>
          <w:p>
            <w:pPr>
              <w:snapToGrid w:val="0"/>
              <w:spacing w:line="288" w:lineRule="auto"/>
              <w:jc w:val="center"/>
              <w:rPr>
                <w:rFonts w:ascii="仿宋" w:hAnsi="仿宋" w:eastAsia="仿宋"/>
                <w:sz w:val="20"/>
                <w:szCs w:val="20"/>
              </w:rPr>
            </w:pPr>
            <w:r>
              <w:rPr>
                <w:rFonts w:hint="eastAsia" w:ascii="仿宋" w:hAnsi="仿宋" w:eastAsia="仿宋"/>
                <w:sz w:val="20"/>
                <w:szCs w:val="20"/>
              </w:rPr>
              <w:t>相关话题口语听力及写作练习</w:t>
            </w: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4"/>
        <w:tblW w:w="9043" w:type="dxa"/>
        <w:tblInd w:w="421" w:type="dxa"/>
        <w:tblLayout w:type="autofit"/>
        <w:tblCellMar>
          <w:top w:w="0" w:type="dxa"/>
          <w:left w:w="108" w:type="dxa"/>
          <w:bottom w:w="0" w:type="dxa"/>
          <w:right w:w="108" w:type="dxa"/>
        </w:tblCellMar>
      </w:tblPr>
      <w:tblGrid>
        <w:gridCol w:w="567"/>
        <w:gridCol w:w="3515"/>
        <w:gridCol w:w="2693"/>
        <w:gridCol w:w="2268"/>
      </w:tblGrid>
      <w:tr>
        <w:tblPrEx>
          <w:tblCellMar>
            <w:top w:w="0" w:type="dxa"/>
            <w:left w:w="108" w:type="dxa"/>
            <w:bottom w:w="0" w:type="dxa"/>
            <w:right w:w="108" w:type="dxa"/>
          </w:tblCellMar>
        </w:tblPrEx>
        <w:trPr>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单元</w:t>
            </w:r>
          </w:p>
        </w:tc>
        <w:tc>
          <w:tcPr>
            <w:tcW w:w="351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2"/>
              </w:rPr>
            </w:pPr>
            <w:r>
              <w:rPr>
                <w:rFonts w:hint="eastAsia" w:ascii="宋体" w:hAnsi="宋体" w:cs="宋体"/>
                <w:szCs w:val="21"/>
              </w:rPr>
              <w:t>知识点和能力要求</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szCs w:val="21"/>
              </w:rPr>
              <w:t>教学难点</w:t>
            </w:r>
          </w:p>
        </w:tc>
        <w:tc>
          <w:tcPr>
            <w:tcW w:w="2268" w:type="dxa"/>
            <w:tcBorders>
              <w:top w:val="single" w:color="auto" w:sz="4" w:space="0"/>
              <w:left w:val="nil"/>
              <w:bottom w:val="single" w:color="auto" w:sz="4" w:space="0"/>
              <w:right w:val="single" w:color="auto" w:sz="4" w:space="0"/>
            </w:tcBorders>
          </w:tcPr>
          <w:p>
            <w:pPr>
              <w:widowControl/>
              <w:jc w:val="center"/>
              <w:rPr>
                <w:rFonts w:ascii="宋体" w:hAnsi="宋体" w:cs="宋体"/>
                <w:szCs w:val="21"/>
              </w:rPr>
            </w:pPr>
            <w:r>
              <w:rPr>
                <w:rFonts w:hint="eastAsia" w:ascii="宋体" w:hAnsi="宋体" w:cs="宋体"/>
                <w:szCs w:val="21"/>
              </w:rPr>
              <w:t>理论/实践课时数</w:t>
            </w:r>
          </w:p>
        </w:tc>
      </w:tr>
      <w:tr>
        <w:tblPrEx>
          <w:tblCellMar>
            <w:top w:w="0" w:type="dxa"/>
            <w:left w:w="108" w:type="dxa"/>
            <w:bottom w:w="0" w:type="dxa"/>
            <w:right w:w="108" w:type="dxa"/>
          </w:tblCellMar>
        </w:tblPrEx>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Geography：</w:t>
            </w:r>
          </w:p>
          <w:p>
            <w:pPr>
              <w:spacing w:line="300" w:lineRule="auto"/>
              <w:rPr>
                <w:color w:val="000000"/>
                <w:sz w:val="20"/>
                <w:szCs w:val="20"/>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and discussing geography-related cultural topics</w:t>
            </w:r>
            <w:r>
              <w:rPr>
                <w:rFonts w:hint="eastAsia"/>
                <w:color w:val="000000"/>
                <w:sz w:val="20"/>
                <w:szCs w:val="20"/>
              </w:rPr>
              <w:t>中国独特的地理位置以及农业文明所导致的传统相对封闭的文化观念使旧中国在近代以来遭受了西方列强来自海洋上的攻击，鼓励学生对比今昔，更加珍惜和维护现在安定团结的社会和美好的生活。</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o know geographical location and natural environment of China</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blPrEx>
          <w:tblCellMar>
            <w:top w:w="0" w:type="dxa"/>
            <w:left w:w="108" w:type="dxa"/>
            <w:bottom w:w="0" w:type="dxa"/>
            <w:right w:w="108" w:type="dxa"/>
          </w:tblCellMar>
        </w:tblPrEx>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2</w:t>
            </w:r>
          </w:p>
        </w:tc>
        <w:tc>
          <w:tcPr>
            <w:tcW w:w="35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H</w:t>
            </w:r>
            <w:r>
              <w:rPr>
                <w:rFonts w:hint="eastAsia" w:ascii="Times New Roman" w:hAnsi="Times New Roman"/>
                <w:color w:val="000000"/>
                <w:kern w:val="0"/>
                <w:sz w:val="24"/>
                <w:szCs w:val="24"/>
              </w:rPr>
              <w:t>istory：</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history-related cultural topics</w:t>
            </w:r>
            <w:r>
              <w:rPr>
                <w:rFonts w:hint="eastAsia"/>
                <w:color w:val="000000"/>
                <w:sz w:val="20"/>
                <w:szCs w:val="20"/>
              </w:rPr>
              <w:t>中华民族有悠久的历史，文化灿烂，科技发达，经济繁荣，中国在很长一段历史时期是世界上最发达强盛的国家。在学习该课程过程中激发学生为中华骄傲，以中华为荣的爱国热情</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o know ancient/ modern/ contemporary history of China</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blPrEx>
          <w:tblCellMar>
            <w:top w:w="0" w:type="dxa"/>
            <w:left w:w="108" w:type="dxa"/>
            <w:bottom w:w="0" w:type="dxa"/>
            <w:right w:w="108" w:type="dxa"/>
          </w:tblCellMar>
        </w:tblPrEx>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 xml:space="preserve">3 </w:t>
            </w:r>
          </w:p>
        </w:tc>
        <w:tc>
          <w:tcPr>
            <w:tcW w:w="35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Philosophy：</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philosophy-related cultural topics</w:t>
            </w:r>
            <w:r>
              <w:rPr>
                <w:rFonts w:hint="eastAsia"/>
                <w:color w:val="000000"/>
                <w:sz w:val="20"/>
                <w:szCs w:val="20"/>
              </w:rPr>
              <w:t>中国的哲学思想灿烂辉煌，思想兼容并蓄，中华文化以极大的能量和包容接纳并吸收改造了来自全世界各地的思想体系。通过学习和了解，鼓励学生形成正确的世界观，人生观和价值观</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o know key figures  in Confucianism and traditional Chinese thoughts</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4</w:t>
            </w: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Religion：</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religion-related cultural topics</w:t>
            </w:r>
            <w:r>
              <w:rPr>
                <w:rFonts w:hint="eastAsia"/>
                <w:color w:val="000000"/>
                <w:sz w:val="20"/>
                <w:szCs w:val="20"/>
              </w:rPr>
              <w:t>中国的哲学思想灿烂辉煌，思想兼容并蓄，中华文化以极大的能量和包容接纳并吸收改造了来自全世界各地的思想体系。通过学习和了解，鼓励学生形成正确的世界观，人生观和价值观</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o know native and non-native beliefs and religions in China</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blPrEx>
          <w:tblCellMar>
            <w:top w:w="0" w:type="dxa"/>
            <w:left w:w="108" w:type="dxa"/>
            <w:bottom w:w="0" w:type="dxa"/>
            <w:right w:w="108" w:type="dxa"/>
          </w:tblCellMar>
        </w:tblPrEx>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Literature &amp; Art：</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literature-related cultural topics</w:t>
            </w:r>
            <w:r>
              <w:rPr>
                <w:rFonts w:hint="eastAsia"/>
                <w:color w:val="000000"/>
                <w:sz w:val="20"/>
                <w:szCs w:val="20"/>
              </w:rPr>
              <w:t>中华民族有悠久的历史，文化灿烂，科技发达，经济繁荣，中国在很长一段历史时期是世界上最发达强盛的国家。在学习该课程过程中激发学生为中华骄傲，以中华为荣的爱国热情</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o know ancient Chinese literature and traditional Chinese operas of China</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6</w:t>
            </w: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Language：</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language-related cultural topics</w:t>
            </w:r>
            <w:r>
              <w:rPr>
                <w:rFonts w:hint="eastAsia"/>
                <w:color w:val="000000"/>
                <w:sz w:val="20"/>
                <w:szCs w:val="20"/>
              </w:rPr>
              <w:t>中国传统文化存在于我们的生活的每一个细节中，鼓励学生去挖掘和寻找身边的传统文化，精神价值，人文风俗，生活习惯，促使他们更加热爱传统文化</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o know diversity of languages and Chinese characters</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7</w:t>
            </w: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Calligraphy &amp; Painting：</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calligraphy-related cultural topics</w:t>
            </w:r>
            <w:r>
              <w:rPr>
                <w:rFonts w:hint="eastAsia"/>
                <w:color w:val="000000"/>
                <w:sz w:val="20"/>
                <w:szCs w:val="20"/>
              </w:rPr>
              <w:t>中华民族有悠久的历史，文化灿烂，科技发达，经济繁荣，中国在很长一段历史时期是世界上最发达强盛的国家。在学习该课程过程中激发学生为中华骄傲，以中华为荣的爱国热情</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 xml:space="preserve">o know </w:t>
            </w:r>
            <w:r>
              <w:rPr>
                <w:rFonts w:ascii="Times New Roman" w:hAnsi="Times New Roman"/>
                <w:color w:val="000000"/>
                <w:kern w:val="0"/>
                <w:sz w:val="24"/>
                <w:szCs w:val="24"/>
              </w:rPr>
              <w:t>the</w:t>
            </w:r>
            <w:r>
              <w:rPr>
                <w:rFonts w:hint="eastAsia" w:ascii="Times New Roman" w:hAnsi="Times New Roman"/>
                <w:color w:val="000000"/>
                <w:kern w:val="0"/>
                <w:sz w:val="24"/>
                <w:szCs w:val="24"/>
              </w:rPr>
              <w:t xml:space="preserve"> evolution and basic knowledge of Chinese calligraphy and painting</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blPrEx>
          <w:tblCellMar>
            <w:top w:w="0" w:type="dxa"/>
            <w:left w:w="108" w:type="dxa"/>
            <w:bottom w:w="0" w:type="dxa"/>
            <w:right w:w="108" w:type="dxa"/>
          </w:tblCellMar>
        </w:tblPrEx>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宋体"/>
                <w:color w:val="000000"/>
                <w:kern w:val="0"/>
                <w:sz w:val="24"/>
                <w:szCs w:val="24"/>
              </w:rPr>
            </w:pPr>
            <w:r>
              <w:rPr>
                <w:rFonts w:hint="eastAsia" w:ascii="Times New Roman" w:hAnsi="宋体"/>
                <w:color w:val="000000"/>
                <w:kern w:val="0"/>
                <w:sz w:val="24"/>
                <w:szCs w:val="24"/>
              </w:rPr>
              <w:t>10</w:t>
            </w: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Education：</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education-related cultural topics</w:t>
            </w:r>
            <w:r>
              <w:rPr>
                <w:rFonts w:hint="eastAsia"/>
                <w:color w:val="000000"/>
                <w:sz w:val="20"/>
                <w:szCs w:val="20"/>
              </w:rPr>
              <w:t>中国传统文化存在于我们的生活的每一个细节中，鼓励学生去挖掘和寻找身边的传统文化，精神价值，人文风俗，生活习惯，促使他们更加热爱传统文化</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o know school education and examination system of China</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rPr>
          <w:trHeight w:val="13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13</w:t>
            </w: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Festivals &amp; Cuisine：</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festival-related cultural topics</w:t>
            </w:r>
            <w:r>
              <w:rPr>
                <w:rFonts w:hint="eastAsia"/>
                <w:color w:val="000000"/>
                <w:sz w:val="20"/>
                <w:szCs w:val="20"/>
              </w:rPr>
              <w:t>中国传统文化存在于我们的生活的每一个细节中，鼓励学生去挖掘和寻找身边的传统文化，精神价值，人文风俗，生活习惯，促使他们更加热爱传统文化</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 xml:space="preserve">o know </w:t>
            </w:r>
            <w:r>
              <w:rPr>
                <w:rFonts w:ascii="Times New Roman" w:hAnsi="Times New Roman"/>
                <w:color w:val="000000"/>
                <w:kern w:val="0"/>
                <w:sz w:val="24"/>
                <w:szCs w:val="24"/>
              </w:rPr>
              <w:t>traditional</w:t>
            </w:r>
            <w:r>
              <w:rPr>
                <w:rFonts w:hint="eastAsia" w:ascii="Times New Roman" w:hAnsi="Times New Roman"/>
                <w:color w:val="000000"/>
                <w:kern w:val="0"/>
                <w:sz w:val="24"/>
                <w:szCs w:val="24"/>
              </w:rPr>
              <w:t xml:space="preserve"> Chinese festivals and cuisine</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r>
        <w:tblPrEx>
          <w:tblCellMar>
            <w:top w:w="0" w:type="dxa"/>
            <w:left w:w="108" w:type="dxa"/>
            <w:bottom w:w="0" w:type="dxa"/>
            <w:right w:w="108" w:type="dxa"/>
          </w:tblCellMar>
        </w:tblPrEx>
        <w:trPr>
          <w:trHeight w:val="69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宋体"/>
                <w:color w:val="000000"/>
                <w:kern w:val="0"/>
                <w:sz w:val="24"/>
                <w:szCs w:val="24"/>
              </w:rPr>
            </w:pPr>
            <w:r>
              <w:rPr>
                <w:rFonts w:hint="eastAsia" w:ascii="Times New Roman" w:hAnsi="宋体"/>
                <w:color w:val="000000"/>
                <w:kern w:val="0"/>
                <w:sz w:val="24"/>
                <w:szCs w:val="24"/>
              </w:rPr>
              <w:t>14</w:t>
            </w: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szCs w:val="24"/>
              </w:rPr>
              <w:t>Cultural Heritage：</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he ability of talking about China in English discussing heritage-related cultural topics</w:t>
            </w:r>
            <w:r>
              <w:rPr>
                <w:rFonts w:hint="eastAsia"/>
                <w:color w:val="000000"/>
                <w:sz w:val="20"/>
                <w:szCs w:val="20"/>
              </w:rPr>
              <w:t>中国传统文化存在于我们的生活的每一个细节中，鼓励学生去挖掘和寻找身边的传统文化，精神价值，人文风俗，生活习惯，促使他们更加热爱传统文化</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hint="eastAsia" w:ascii="Times New Roman" w:hAnsi="Times New Roman"/>
                <w:color w:val="000000"/>
                <w:kern w:val="0"/>
                <w:sz w:val="24"/>
                <w:szCs w:val="24"/>
              </w:rPr>
              <w:t>o know cultural relics and intangible cultural heritage of China</w:t>
            </w:r>
          </w:p>
        </w:tc>
        <w:tc>
          <w:tcPr>
            <w:tcW w:w="2268" w:type="dxa"/>
            <w:tcBorders>
              <w:top w:val="nil"/>
              <w:left w:val="nil"/>
              <w:bottom w:val="single" w:color="auto" w:sz="4" w:space="0"/>
              <w:right w:val="single" w:color="auto" w:sz="4" w:space="0"/>
            </w:tcBorders>
          </w:tcPr>
          <w:p>
            <w:pPr>
              <w:widowControl/>
              <w:jc w:val="left"/>
              <w:rPr>
                <w:rFonts w:ascii="Times New Roman" w:hAnsi="Times New Roman"/>
                <w:color w:val="000000"/>
                <w:kern w:val="0"/>
                <w:sz w:val="24"/>
                <w:szCs w:val="24"/>
              </w:rPr>
            </w:pPr>
            <w:r>
              <w:rPr>
                <w:rFonts w:hint="eastAsia" w:ascii="宋体" w:hAnsi="宋体" w:cs="宋体"/>
                <w:szCs w:val="21"/>
              </w:rPr>
              <w:t xml:space="preserve">理论 </w:t>
            </w:r>
            <w:r>
              <w:rPr>
                <w:rFonts w:ascii="宋体" w:hAnsi="宋体" w:cs="宋体"/>
                <w:szCs w:val="21"/>
              </w:rPr>
              <w:t>2</w:t>
            </w:r>
            <w:r>
              <w:rPr>
                <w:rFonts w:hint="eastAsia" w:ascii="宋体" w:hAnsi="宋体" w:cs="宋体"/>
                <w:szCs w:val="21"/>
              </w:rPr>
              <w:t>课时</w:t>
            </w:r>
          </w:p>
        </w:tc>
      </w:tr>
    </w:tbl>
    <w:p>
      <w:pPr>
        <w:snapToGrid w:val="0"/>
        <w:spacing w:line="288" w:lineRule="auto"/>
        <w:ind w:right="26"/>
        <w:jc w:val="right"/>
        <w:rPr>
          <w:sz w:val="20"/>
          <w:szCs w:val="20"/>
        </w:rPr>
      </w:pPr>
    </w:p>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lang w:eastAsia="zh-CN"/>
        </w:rPr>
        <w:t>七</w:t>
      </w:r>
      <w:r>
        <w:rPr>
          <w:rFonts w:hint="eastAsia" w:ascii="黑体" w:hAnsi="宋体" w:eastAsia="黑体"/>
          <w:sz w:val="24"/>
        </w:rPr>
        <w:t>、评价方式与成绩</w:t>
      </w:r>
    </w:p>
    <w:tbl>
      <w:tblPr>
        <w:tblStyle w:val="4"/>
        <w:tblpPr w:leftFromText="180" w:rightFromText="180" w:vertAnchor="text" w:horzAnchor="page" w:tblpX="2215" w:tblpY="240"/>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51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451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Theme="minorEastAsia"/>
                <w:bCs/>
                <w:color w:val="000000"/>
                <w:szCs w:val="20"/>
              </w:rPr>
              <w:t>1</w:t>
            </w:r>
          </w:p>
        </w:tc>
        <w:tc>
          <w:tcPr>
            <w:tcW w:w="451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F</w:t>
            </w:r>
            <w:r>
              <w:rPr>
                <w:rFonts w:ascii="宋体" w:hAnsi="宋体"/>
                <w:bCs/>
                <w:color w:val="000000"/>
                <w:szCs w:val="20"/>
              </w:rPr>
              <w:t>inal Test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eastAsiaTheme="minorEastAsia"/>
                <w:bCs/>
                <w:color w:val="000000"/>
                <w:szCs w:val="20"/>
              </w:rPr>
              <w:t>45</w:t>
            </w:r>
            <w:r>
              <w:rPr>
                <w:rFonts w:hint="eastAsia" w:ascii="宋体" w:hAnsi="宋体" w:eastAsiaTheme="minorEastAsia"/>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1</w:t>
            </w:r>
          </w:p>
        </w:tc>
        <w:tc>
          <w:tcPr>
            <w:tcW w:w="451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w:t>
            </w:r>
            <w:r>
              <w:rPr>
                <w:rFonts w:ascii="宋体" w:hAnsi="宋体"/>
                <w:bCs/>
                <w:color w:val="000000"/>
                <w:szCs w:val="20"/>
              </w:rPr>
              <w:t>uiz</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451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W</w:t>
            </w:r>
            <w:r>
              <w:rPr>
                <w:rFonts w:ascii="宋体" w:hAnsi="宋体"/>
                <w:bCs/>
                <w:color w:val="000000"/>
                <w:szCs w:val="20"/>
              </w:rPr>
              <w:t>riting</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4511" w:type="dxa"/>
            <w:shd w:val="clear" w:color="auto" w:fill="auto"/>
          </w:tcPr>
          <w:p>
            <w:pPr>
              <w:tabs>
                <w:tab w:val="left" w:pos="1338"/>
                <w:tab w:val="center" w:pos="2443"/>
              </w:tabs>
              <w:snapToGrid w:val="0"/>
              <w:spacing w:before="156" w:beforeLines="50" w:after="156" w:afterLines="50"/>
              <w:jc w:val="left"/>
              <w:rPr>
                <w:rFonts w:ascii="宋体" w:hAnsi="宋体"/>
                <w:bCs/>
                <w:color w:val="000000"/>
                <w:szCs w:val="20"/>
              </w:rPr>
            </w:pPr>
            <w:r>
              <w:rPr>
                <w:rFonts w:ascii="宋体" w:hAnsi="宋体"/>
                <w:bCs/>
                <w:color w:val="000000"/>
                <w:szCs w:val="20"/>
              </w:rPr>
              <w:t>P</w:t>
            </w:r>
            <w:r>
              <w:rPr>
                <w:rFonts w:hint="eastAsia" w:ascii="宋体" w:hAnsi="宋体"/>
                <w:bCs/>
                <w:color w:val="000000"/>
                <w:szCs w:val="20"/>
              </w:rPr>
              <w:t>resentation：</w:t>
            </w:r>
            <w:r>
              <w:rPr>
                <w:rFonts w:ascii="宋体" w:hAnsi="宋体"/>
                <w:bCs/>
                <w:color w:val="000000"/>
                <w:szCs w:val="20"/>
              </w:rPr>
              <w:t xml:space="preserve">Topic from the textbooks: </w:t>
            </w:r>
            <w:r>
              <w:rPr>
                <w:rFonts w:hint="eastAsia" w:ascii="宋体" w:hAnsi="宋体"/>
                <w:bCs/>
                <w:color w:val="000000"/>
                <w:szCs w:val="20"/>
              </w:rPr>
              <w:t>U</w:t>
            </w:r>
            <w:r>
              <w:rPr>
                <w:rFonts w:ascii="宋体" w:hAnsi="宋体"/>
                <w:bCs/>
                <w:color w:val="000000"/>
                <w:szCs w:val="20"/>
              </w:rPr>
              <w:t>nderstanding Contemporary China</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25</w:t>
            </w:r>
            <w:r>
              <w:rPr>
                <w:rFonts w:hint="eastAsia" w:ascii="宋体" w:hAnsi="宋体"/>
                <w:bCs/>
                <w:color w:val="000000"/>
                <w:szCs w:val="20"/>
              </w:rPr>
              <w:t>%</w:t>
            </w:r>
          </w:p>
        </w:tc>
      </w:tr>
    </w:tbl>
    <w:p>
      <w:pPr>
        <w:widowControl/>
        <w:spacing w:before="156" w:beforeLines="50" w:after="156" w:afterLines="50"/>
        <w:jc w:val="left"/>
        <w:rPr>
          <w:rFonts w:ascii="黑体" w:hAnsi="宋体" w:eastAsia="黑体"/>
          <w:sz w:val="24"/>
        </w:rPr>
      </w:pPr>
    </w:p>
    <w:p>
      <w:pPr>
        <w:snapToGrid w:val="0"/>
        <w:spacing w:before="120" w:after="120" w:line="288" w:lineRule="auto"/>
        <w:ind w:firstLine="480" w:firstLineChars="200"/>
        <w:rPr>
          <w:rFonts w:ascii="宋体" w:hAnsi="宋体"/>
          <w:sz w:val="20"/>
          <w:szCs w:val="20"/>
        </w:rPr>
      </w:pPr>
      <w:r>
        <w:rPr>
          <w:sz w:val="24"/>
          <w:szCs w:val="24"/>
        </w:rPr>
        <w:drawing>
          <wp:anchor distT="0" distB="0" distL="114300" distR="114300" simplePos="0" relativeHeight="251659264" behindDoc="0" locked="0" layoutInCell="1" allowOverlap="1">
            <wp:simplePos x="0" y="0"/>
            <wp:positionH relativeFrom="column">
              <wp:posOffset>2930525</wp:posOffset>
            </wp:positionH>
            <wp:positionV relativeFrom="paragraph">
              <wp:posOffset>202565</wp:posOffset>
            </wp:positionV>
            <wp:extent cx="766445" cy="460375"/>
            <wp:effectExtent l="0" t="0" r="14605" b="158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445" cy="460375"/>
                    </a:xfrm>
                    <a:prstGeom prst="rect">
                      <a:avLst/>
                    </a:prstGeom>
                  </pic:spPr>
                </pic:pic>
              </a:graphicData>
            </a:graphic>
          </wp:anchor>
        </w:drawing>
      </w:r>
    </w:p>
    <w:p>
      <w:pPr>
        <w:snapToGrid w:val="0"/>
        <w:spacing w:line="288" w:lineRule="auto"/>
        <w:rPr>
          <w:sz w:val="28"/>
          <w:szCs w:val="28"/>
        </w:rPr>
      </w:pPr>
      <w:r>
        <w:rPr>
          <w:rFonts w:hint="eastAsia"/>
          <w:sz w:val="28"/>
          <w:szCs w:val="28"/>
        </w:rPr>
        <w:t xml:space="preserve">撰写人：  </w:t>
      </w:r>
      <w:r>
        <w:rPr>
          <w:sz w:val="28"/>
          <w:szCs w:val="28"/>
        </w:rPr>
        <w:drawing>
          <wp:inline distT="0" distB="0" distL="0" distR="0">
            <wp:extent cx="538480" cy="255270"/>
            <wp:effectExtent l="0" t="0" r="0" b="0"/>
            <wp:docPr id="3" name="图片 3" descr="D:\照片\Camera\证件照+老照片\信息图片\mmexport1620789431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照片\Camera\证件照+老照片\信息图片\mmexport162078943169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8141" cy="260367"/>
                    </a:xfrm>
                    <a:prstGeom prst="rect">
                      <a:avLst/>
                    </a:prstGeom>
                    <a:noFill/>
                    <a:ln>
                      <a:noFill/>
                    </a:ln>
                  </pic:spPr>
                </pic:pic>
              </a:graphicData>
            </a:graphic>
          </wp:inline>
        </w:drawing>
      </w:r>
      <w:r>
        <w:rPr>
          <w:rFonts w:hint="eastAsia"/>
          <w:sz w:val="28"/>
          <w:szCs w:val="28"/>
        </w:rPr>
        <w:t xml:space="preserve">  系主任审核签名：</w:t>
      </w:r>
      <w:r>
        <w:rPr>
          <w:rFonts w:hint="eastAsia"/>
          <w:sz w:val="28"/>
          <w:szCs w:val="28"/>
          <w:lang w:val="en-US" w:eastAsia="zh-CN"/>
        </w:rPr>
        <w:t xml:space="preserve">           </w:t>
      </w:r>
      <w:r>
        <w:rPr>
          <w:rFonts w:hint="eastAsia"/>
          <w:sz w:val="28"/>
          <w:szCs w:val="28"/>
        </w:rPr>
        <w:t>审核时间：2</w:t>
      </w:r>
      <w:r>
        <w:rPr>
          <w:sz w:val="28"/>
          <w:szCs w:val="28"/>
        </w:rPr>
        <w:t>022.9.1</w:t>
      </w:r>
      <w:r>
        <w:rPr>
          <w:rFonts w:hint="eastAsia"/>
          <w:sz w:val="28"/>
          <w:szCs w:val="28"/>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FKaiShu-SB-Estd-BF">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730231"/>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B7651F"/>
    <w:rsid w:val="000043BD"/>
    <w:rsid w:val="00005872"/>
    <w:rsid w:val="00005B46"/>
    <w:rsid w:val="00006B73"/>
    <w:rsid w:val="0002780B"/>
    <w:rsid w:val="0004453B"/>
    <w:rsid w:val="00095988"/>
    <w:rsid w:val="000F114F"/>
    <w:rsid w:val="0010542E"/>
    <w:rsid w:val="001072BC"/>
    <w:rsid w:val="00132CF6"/>
    <w:rsid w:val="00133EF4"/>
    <w:rsid w:val="00145869"/>
    <w:rsid w:val="00182E56"/>
    <w:rsid w:val="001A60C4"/>
    <w:rsid w:val="001F1DFC"/>
    <w:rsid w:val="001F47C6"/>
    <w:rsid w:val="001F5C57"/>
    <w:rsid w:val="00205935"/>
    <w:rsid w:val="0020776D"/>
    <w:rsid w:val="002444DD"/>
    <w:rsid w:val="00247BAB"/>
    <w:rsid w:val="00256B39"/>
    <w:rsid w:val="0026033C"/>
    <w:rsid w:val="002623DC"/>
    <w:rsid w:val="002A31AB"/>
    <w:rsid w:val="002A5042"/>
    <w:rsid w:val="002C4CB0"/>
    <w:rsid w:val="002E2440"/>
    <w:rsid w:val="002E3721"/>
    <w:rsid w:val="00306E70"/>
    <w:rsid w:val="00313BBA"/>
    <w:rsid w:val="0032602E"/>
    <w:rsid w:val="003367AE"/>
    <w:rsid w:val="00391F11"/>
    <w:rsid w:val="003A1BB7"/>
    <w:rsid w:val="003B0C35"/>
    <w:rsid w:val="003B1258"/>
    <w:rsid w:val="003D6ACD"/>
    <w:rsid w:val="00407C48"/>
    <w:rsid w:val="004100B0"/>
    <w:rsid w:val="00430433"/>
    <w:rsid w:val="004475F8"/>
    <w:rsid w:val="004A1C69"/>
    <w:rsid w:val="004C689C"/>
    <w:rsid w:val="004E6C50"/>
    <w:rsid w:val="00513C17"/>
    <w:rsid w:val="00522072"/>
    <w:rsid w:val="00545573"/>
    <w:rsid w:val="005467DC"/>
    <w:rsid w:val="00553D03"/>
    <w:rsid w:val="00562536"/>
    <w:rsid w:val="005721CA"/>
    <w:rsid w:val="005739CC"/>
    <w:rsid w:val="00574CC8"/>
    <w:rsid w:val="00584964"/>
    <w:rsid w:val="0058716C"/>
    <w:rsid w:val="005B2B6D"/>
    <w:rsid w:val="005B4B4E"/>
    <w:rsid w:val="005E0BFA"/>
    <w:rsid w:val="006229A1"/>
    <w:rsid w:val="00624FE1"/>
    <w:rsid w:val="00640C23"/>
    <w:rsid w:val="0065404E"/>
    <w:rsid w:val="00666A35"/>
    <w:rsid w:val="00673103"/>
    <w:rsid w:val="00677633"/>
    <w:rsid w:val="006C29E1"/>
    <w:rsid w:val="006C6034"/>
    <w:rsid w:val="006E05B8"/>
    <w:rsid w:val="006E168E"/>
    <w:rsid w:val="006E49FA"/>
    <w:rsid w:val="006F41B0"/>
    <w:rsid w:val="0070575C"/>
    <w:rsid w:val="007150A0"/>
    <w:rsid w:val="007208D6"/>
    <w:rsid w:val="00766BDA"/>
    <w:rsid w:val="00784CCC"/>
    <w:rsid w:val="007A2CAB"/>
    <w:rsid w:val="007A607C"/>
    <w:rsid w:val="007B1C24"/>
    <w:rsid w:val="007B7561"/>
    <w:rsid w:val="007C67F6"/>
    <w:rsid w:val="007D1D07"/>
    <w:rsid w:val="007D5E8F"/>
    <w:rsid w:val="008008FD"/>
    <w:rsid w:val="0080091C"/>
    <w:rsid w:val="00807A66"/>
    <w:rsid w:val="008108EF"/>
    <w:rsid w:val="008129DD"/>
    <w:rsid w:val="00832AC5"/>
    <w:rsid w:val="00866777"/>
    <w:rsid w:val="00886CF8"/>
    <w:rsid w:val="008B397C"/>
    <w:rsid w:val="008B47F4"/>
    <w:rsid w:val="008C37DF"/>
    <w:rsid w:val="008E6118"/>
    <w:rsid w:val="008F5CDC"/>
    <w:rsid w:val="00900019"/>
    <w:rsid w:val="009000E9"/>
    <w:rsid w:val="00905B6D"/>
    <w:rsid w:val="00912FE8"/>
    <w:rsid w:val="00933D7B"/>
    <w:rsid w:val="009375D0"/>
    <w:rsid w:val="00943F6F"/>
    <w:rsid w:val="00947BE9"/>
    <w:rsid w:val="00957E0D"/>
    <w:rsid w:val="00984B20"/>
    <w:rsid w:val="0099063E"/>
    <w:rsid w:val="009B25A1"/>
    <w:rsid w:val="009C43B8"/>
    <w:rsid w:val="009E4E6B"/>
    <w:rsid w:val="009F2101"/>
    <w:rsid w:val="00A25335"/>
    <w:rsid w:val="00A445F7"/>
    <w:rsid w:val="00A54DCC"/>
    <w:rsid w:val="00A656EA"/>
    <w:rsid w:val="00A769B1"/>
    <w:rsid w:val="00A775F9"/>
    <w:rsid w:val="00A77B0B"/>
    <w:rsid w:val="00A837D5"/>
    <w:rsid w:val="00AA1ED4"/>
    <w:rsid w:val="00AB53AE"/>
    <w:rsid w:val="00AB665E"/>
    <w:rsid w:val="00AC4C45"/>
    <w:rsid w:val="00AF2FF2"/>
    <w:rsid w:val="00AF6AAB"/>
    <w:rsid w:val="00B160B6"/>
    <w:rsid w:val="00B45C08"/>
    <w:rsid w:val="00B46F21"/>
    <w:rsid w:val="00B4794D"/>
    <w:rsid w:val="00B511A5"/>
    <w:rsid w:val="00B736A7"/>
    <w:rsid w:val="00B7651F"/>
    <w:rsid w:val="00B8021A"/>
    <w:rsid w:val="00BD189B"/>
    <w:rsid w:val="00BE43EC"/>
    <w:rsid w:val="00BF5833"/>
    <w:rsid w:val="00C15347"/>
    <w:rsid w:val="00C20C23"/>
    <w:rsid w:val="00C5238F"/>
    <w:rsid w:val="00C56E09"/>
    <w:rsid w:val="00CB4145"/>
    <w:rsid w:val="00CB6FFD"/>
    <w:rsid w:val="00CC3707"/>
    <w:rsid w:val="00CD4F19"/>
    <w:rsid w:val="00CD5621"/>
    <w:rsid w:val="00CF096B"/>
    <w:rsid w:val="00D22284"/>
    <w:rsid w:val="00D32081"/>
    <w:rsid w:val="00D433BC"/>
    <w:rsid w:val="00D51122"/>
    <w:rsid w:val="00D542C6"/>
    <w:rsid w:val="00D65356"/>
    <w:rsid w:val="00D7136C"/>
    <w:rsid w:val="00D94099"/>
    <w:rsid w:val="00DE4BA0"/>
    <w:rsid w:val="00E13417"/>
    <w:rsid w:val="00E16D30"/>
    <w:rsid w:val="00E32E07"/>
    <w:rsid w:val="00E33169"/>
    <w:rsid w:val="00E70904"/>
    <w:rsid w:val="00EB1AA7"/>
    <w:rsid w:val="00EF44B1"/>
    <w:rsid w:val="00F17C14"/>
    <w:rsid w:val="00F17D5D"/>
    <w:rsid w:val="00F35AA0"/>
    <w:rsid w:val="00F537BD"/>
    <w:rsid w:val="00F61074"/>
    <w:rsid w:val="00F66CCC"/>
    <w:rsid w:val="00F822C8"/>
    <w:rsid w:val="00FC1D08"/>
    <w:rsid w:val="00FD117A"/>
    <w:rsid w:val="00FD72DD"/>
    <w:rsid w:val="00FE75BE"/>
    <w:rsid w:val="00FF2132"/>
    <w:rsid w:val="016E63C2"/>
    <w:rsid w:val="024B0C39"/>
    <w:rsid w:val="0A8128A6"/>
    <w:rsid w:val="0BF32A1B"/>
    <w:rsid w:val="10BD2C22"/>
    <w:rsid w:val="147938CD"/>
    <w:rsid w:val="22987C80"/>
    <w:rsid w:val="24192CCC"/>
    <w:rsid w:val="39A66CD4"/>
    <w:rsid w:val="3CD52CE1"/>
    <w:rsid w:val="40C913F5"/>
    <w:rsid w:val="410F2E6A"/>
    <w:rsid w:val="4430136C"/>
    <w:rsid w:val="4AB0382B"/>
    <w:rsid w:val="569868B5"/>
    <w:rsid w:val="611F6817"/>
    <w:rsid w:val="632C4330"/>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BEA03-AAFA-42E5-A1CC-A84AB70917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2563</Words>
  <Characters>4107</Characters>
  <Lines>33</Lines>
  <Paragraphs>9</Paragraphs>
  <TotalTime>1</TotalTime>
  <ScaleCrop>false</ScaleCrop>
  <LinksUpToDate>false</LinksUpToDate>
  <CharactersWithSpaces>4374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2021-09-24T08:39:00Z</dcterms:created>
  <dc:creator>juvg</dc:creator>
  <cp:lastModifiedBy>Administrator</cp:lastModifiedBy>
  <dcterms:modified xsi:type="dcterms:W3CDTF">2022-11-28T03:56:03Z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571FEE8AF6EA4E369B89FA71D4CAAED9</vt:lpwstr>
  </property>
</Properties>
</file>