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color w:val="000000" w:themeColor="text1"/>
          <w:sz w:val="28"/>
          <w:szCs w:val="30"/>
          <w14:textFill>
            <w14:solidFill>
              <w14:schemeClr w14:val="tx1"/>
            </w14:solidFill>
          </w14:textFill>
        </w:rPr>
      </w:pPr>
      <w:r>
        <w:rPr>
          <w:rFonts w:hint="eastAsia"/>
          <w:b/>
          <w:sz w:val="28"/>
          <w:szCs w:val="30"/>
        </w:rPr>
        <w:t>【</w:t>
      </w:r>
      <w:r>
        <w:rPr>
          <w:rFonts w:hint="eastAsia"/>
          <w:b/>
          <w:sz w:val="28"/>
          <w:szCs w:val="30"/>
          <w:lang w:eastAsia="zh-CN"/>
        </w:rPr>
        <w:t>英汉/汉英口译</w:t>
      </w:r>
      <w:r>
        <w:rPr>
          <w:rFonts w:hint="eastAsia"/>
          <w:b/>
          <w:sz w:val="28"/>
          <w:szCs w:val="30"/>
        </w:rPr>
        <w:t>】</w:t>
      </w:r>
    </w:p>
    <w:p>
      <w:pPr>
        <w:shd w:val="clear" w:color="auto" w:fill="F5F5F5"/>
        <w:jc w:val="center"/>
        <w:textAlignment w:val="top"/>
        <w:rPr>
          <w:rFonts w:ascii="Arial" w:hAnsi="Arial" w:cs="Arial"/>
          <w:color w:val="000000" w:themeColor="text1"/>
          <w:kern w:val="0"/>
          <w:sz w:val="20"/>
          <w:szCs w:val="20"/>
          <w14:textFill>
            <w14:solidFill>
              <w14:schemeClr w14:val="tx1"/>
            </w14:solidFill>
          </w14:textFill>
        </w:rPr>
      </w:pPr>
      <w:r>
        <w:rPr>
          <w:rFonts w:hint="eastAsia"/>
          <w:b/>
          <w:sz w:val="28"/>
          <w:szCs w:val="30"/>
        </w:rPr>
        <w:t>【</w:t>
      </w:r>
      <w:r>
        <w:rPr>
          <w:b/>
          <w:color w:val="000000" w:themeColor="text1"/>
          <w:sz w:val="28"/>
          <w:szCs w:val="30"/>
          <w14:textFill>
            <w14:solidFill>
              <w14:schemeClr w14:val="tx1"/>
            </w14:solidFill>
          </w14:textFill>
        </w:rPr>
        <w:t>C</w:t>
      </w:r>
      <w:r>
        <w:rPr>
          <w:rFonts w:hint="eastAsia"/>
          <w:b/>
          <w:color w:val="000000" w:themeColor="text1"/>
          <w:sz w:val="28"/>
          <w:szCs w:val="30"/>
          <w14:textFill>
            <w14:solidFill>
              <w14:schemeClr w14:val="tx1"/>
            </w14:solidFill>
          </w14:textFill>
        </w:rPr>
        <w:t>hi</w:t>
      </w:r>
      <w:r>
        <w:rPr>
          <w:b/>
          <w:color w:val="000000" w:themeColor="text1"/>
          <w:sz w:val="28"/>
          <w:szCs w:val="30"/>
          <w14:textFill>
            <w14:solidFill>
              <w14:schemeClr w14:val="tx1"/>
            </w14:solidFill>
          </w14:textFill>
        </w:rPr>
        <w:t xml:space="preserve">nese-English </w:t>
      </w:r>
      <w:r>
        <w:rPr>
          <w:rFonts w:hint="eastAsia"/>
          <w:b/>
          <w:color w:val="000000" w:themeColor="text1"/>
          <w:sz w:val="28"/>
          <w:szCs w:val="30"/>
          <w14:textFill>
            <w14:solidFill>
              <w14:schemeClr w14:val="tx1"/>
            </w14:solidFill>
          </w14:textFill>
        </w:rPr>
        <w:t>Interpretation</w:t>
      </w:r>
      <w:bookmarkStart w:id="0" w:name="a2"/>
      <w:bookmarkEnd w:id="0"/>
      <w:r>
        <w:rPr>
          <w:rFonts w:hint="eastAsia"/>
          <w:b/>
          <w:sz w:val="28"/>
          <w:szCs w:val="30"/>
        </w:rPr>
        <w:t>】</w:t>
      </w:r>
    </w:p>
    <w:p>
      <w:pPr>
        <w:spacing w:before="156" w:beforeLines="50" w:after="156" w:afterLines="50" w:line="288" w:lineRule="auto"/>
        <w:ind w:firstLine="360" w:firstLineChars="150"/>
        <w:rPr>
          <w:b/>
          <w:color w:val="000000" w:themeColor="text1"/>
          <w:sz w:val="30"/>
          <w:szCs w:val="30"/>
          <w14:textFill>
            <w14:solidFill>
              <w14:schemeClr w14:val="tx1"/>
            </w14:solidFill>
          </w14:textFill>
        </w:rPr>
      </w:pPr>
      <w:r>
        <w:rPr>
          <w:rFonts w:ascii="黑体" w:hAnsi="宋体" w:eastAsia="黑体"/>
          <w:color w:val="000000" w:themeColor="text1"/>
          <w:sz w:val="24"/>
          <w14:textFill>
            <w14:solidFill>
              <w14:schemeClr w14:val="tx1"/>
            </w14:solidFill>
          </w14:textFill>
        </w:rPr>
        <w:t>一</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基本信息</w:t>
      </w:r>
    </w:p>
    <w:p>
      <w:pPr>
        <w:snapToGrid w:val="0"/>
        <w:spacing w:line="288" w:lineRule="auto"/>
        <w:ind w:firstLine="394"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课程代码：</w:t>
      </w:r>
      <w:r>
        <w:rPr>
          <w:color w:val="000000"/>
          <w:sz w:val="20"/>
          <w:szCs w:val="20"/>
        </w:rPr>
        <w:t>【</w:t>
      </w:r>
      <w:r>
        <w:rPr>
          <w:b/>
          <w:bCs/>
          <w:color w:val="000000" w:themeColor="text1"/>
          <w:sz w:val="20"/>
          <w:szCs w:val="20"/>
          <w:lang w:eastAsia="zh-CN"/>
          <w14:textFill>
            <w14:solidFill>
              <w14:schemeClr w14:val="tx1"/>
            </w14:solidFill>
          </w14:textFill>
        </w:rPr>
        <w:t>2020349</w:t>
      </w:r>
      <w:r>
        <w:rPr>
          <w:color w:val="000000"/>
          <w:sz w:val="20"/>
          <w:szCs w:val="20"/>
        </w:rPr>
        <w:t>】</w:t>
      </w:r>
    </w:p>
    <w:p>
      <w:pPr>
        <w:snapToGrid w:val="0"/>
        <w:spacing w:line="288" w:lineRule="auto"/>
        <w:ind w:firstLine="394" w:firstLineChars="196"/>
        <w:rPr>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课程学分：</w:t>
      </w:r>
      <w:r>
        <w:rPr>
          <w:color w:val="000000"/>
          <w:sz w:val="20"/>
          <w:szCs w:val="20"/>
        </w:rPr>
        <w:t>【</w:t>
      </w:r>
      <w:r>
        <w:rPr>
          <w:rFonts w:hint="eastAsia"/>
          <w:color w:val="000000" w:themeColor="text1"/>
          <w:sz w:val="20"/>
          <w:szCs w:val="20"/>
          <w14:textFill>
            <w14:solidFill>
              <w14:schemeClr w14:val="tx1"/>
            </w14:solidFill>
          </w14:textFill>
        </w:rPr>
        <w:t>2</w:t>
      </w:r>
      <w:r>
        <w:rPr>
          <w:color w:val="000000"/>
          <w:sz w:val="20"/>
          <w:szCs w:val="20"/>
        </w:rPr>
        <w:t>】</w:t>
      </w:r>
    </w:p>
    <w:p>
      <w:pPr>
        <w:snapToGrid w:val="0"/>
        <w:spacing w:line="288" w:lineRule="auto"/>
        <w:ind w:firstLine="394" w:firstLineChars="196"/>
        <w:rPr>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面向专业：</w:t>
      </w:r>
      <w:r>
        <w:rPr>
          <w:color w:val="000000"/>
          <w:sz w:val="20"/>
          <w:szCs w:val="20"/>
        </w:rPr>
        <w:t>【</w:t>
      </w:r>
      <w:r>
        <w:rPr>
          <w:rFonts w:hint="eastAsia"/>
          <w:color w:val="000000" w:themeColor="text1"/>
          <w:sz w:val="20"/>
          <w:szCs w:val="20"/>
          <w14:textFill>
            <w14:solidFill>
              <w14:schemeClr w14:val="tx1"/>
            </w14:solidFill>
          </w14:textFill>
        </w:rPr>
        <w:t>英语</w:t>
      </w:r>
      <w:r>
        <w:rPr>
          <w:color w:val="000000"/>
          <w:sz w:val="20"/>
          <w:szCs w:val="20"/>
        </w:rPr>
        <w:t>】</w:t>
      </w:r>
    </w:p>
    <w:p>
      <w:pPr>
        <w:snapToGrid w:val="0"/>
        <w:spacing w:line="288" w:lineRule="auto"/>
        <w:ind w:firstLine="394" w:firstLineChars="196"/>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课程性质：</w:t>
      </w:r>
      <w:r>
        <w:rPr>
          <w:color w:val="000000"/>
          <w:sz w:val="20"/>
          <w:szCs w:val="20"/>
        </w:rPr>
        <w:t>【</w:t>
      </w:r>
      <w:r>
        <w:rPr>
          <w:rFonts w:hint="eastAsia"/>
          <w:color w:val="000000" w:themeColor="text1"/>
          <w:sz w:val="20"/>
          <w:szCs w:val="20"/>
          <w14:textFill>
            <w14:solidFill>
              <w14:schemeClr w14:val="tx1"/>
            </w14:solidFill>
          </w14:textFill>
        </w:rPr>
        <w:t>系级必修课</w:t>
      </w:r>
      <w:r>
        <w:rPr>
          <w:color w:val="000000"/>
          <w:sz w:val="20"/>
          <w:szCs w:val="20"/>
        </w:rPr>
        <w:t>】</w:t>
      </w:r>
    </w:p>
    <w:p>
      <w:pPr>
        <w:snapToGrid w:val="0"/>
        <w:spacing w:line="288" w:lineRule="auto"/>
        <w:ind w:firstLine="394" w:firstLineChars="196"/>
        <w:rPr>
          <w:b/>
          <w:bCs/>
          <w:color w:val="000000" w:themeColor="text1"/>
          <w:szCs w:val="21"/>
          <w14:textFill>
            <w14:solidFill>
              <w14:schemeClr w14:val="tx1"/>
            </w14:solidFill>
          </w14:textFill>
        </w:rPr>
      </w:pPr>
      <w:r>
        <w:rPr>
          <w:b/>
          <w:bCs/>
          <w:color w:val="000000" w:themeColor="text1"/>
          <w:sz w:val="20"/>
          <w:szCs w:val="20"/>
          <w14:textFill>
            <w14:solidFill>
              <w14:schemeClr w14:val="tx1"/>
            </w14:solidFill>
          </w14:textFill>
        </w:rPr>
        <w:t>开课院系：</w:t>
      </w:r>
      <w:r>
        <w:rPr>
          <w:rFonts w:hint="eastAsia"/>
          <w:color w:val="000000" w:themeColor="text1"/>
          <w:sz w:val="20"/>
          <w:szCs w:val="20"/>
          <w14:textFill>
            <w14:solidFill>
              <w14:schemeClr w14:val="tx1"/>
            </w14:solidFill>
          </w14:textFill>
        </w:rPr>
        <w:t>外国语学院英语系</w:t>
      </w:r>
    </w:p>
    <w:p>
      <w:pPr>
        <w:snapToGrid w:val="0"/>
        <w:spacing w:line="288" w:lineRule="auto"/>
        <w:ind w:left="2104" w:leftChars="186" w:hanging="1713" w:hangingChars="853"/>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使用教材：</w:t>
      </w:r>
      <w:r>
        <w:rPr>
          <w:color w:val="000000"/>
          <w:sz w:val="20"/>
          <w:szCs w:val="20"/>
        </w:rPr>
        <w:t>【</w:t>
      </w:r>
      <w:r>
        <w:rPr>
          <w:rFonts w:hint="eastAsia"/>
          <w:color w:val="000000" w:themeColor="text1"/>
          <w:sz w:val="20"/>
          <w:szCs w:val="20"/>
          <w14:textFill>
            <w14:solidFill>
              <w14:schemeClr w14:val="tx1"/>
            </w14:solidFill>
          </w14:textFill>
        </w:rPr>
        <w:t>《口译教程》（第二版），主编</w:t>
      </w: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 xml:space="preserve">杨柳燕 苏伟，上海外语教育出版社 </w:t>
      </w:r>
    </w:p>
    <w:p>
      <w:pPr>
        <w:snapToGrid w:val="0"/>
        <w:spacing w:line="288" w:lineRule="auto"/>
        <w:ind w:left="2096" w:leftChars="186" w:hanging="1705" w:hangingChars="853"/>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       </w:t>
      </w:r>
      <w:r>
        <w:rPr>
          <w:rFonts w:hint="eastAsia"/>
          <w:color w:val="000000" w:themeColor="text1"/>
          <w:sz w:val="20"/>
          <w:szCs w:val="20"/>
          <w14:textFill>
            <w14:solidFill>
              <w14:schemeClr w14:val="tx1"/>
            </w14:solidFill>
          </w14:textFill>
        </w:rPr>
        <w:t xml:space="preserve">   参考书目：1. 《中级口译教程》（第三版），主编：梅德明，上海外语教育出版社</w:t>
      </w:r>
    </w:p>
    <w:p>
      <w:pPr>
        <w:snapToGrid w:val="0"/>
        <w:spacing w:line="288" w:lineRule="auto"/>
        <w:ind w:left="2313" w:leftChars="186" w:hanging="1922" w:hangingChars="961"/>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 xml:space="preserve">                    2. 《交替传译——高等学校翻译专业本科教材》，主编：王丹，外语教学与研究出版社</w:t>
      </w:r>
    </w:p>
    <w:p>
      <w:pPr>
        <w:snapToGrid w:val="0"/>
        <w:spacing w:line="288" w:lineRule="auto"/>
        <w:ind w:left="2313" w:leftChars="186" w:hanging="1922" w:hangingChars="961"/>
        <w:rPr>
          <w:color w:val="000000" w:themeColor="text1"/>
          <w:szCs w:val="21"/>
          <w14:textFill>
            <w14:solidFill>
              <w14:schemeClr w14:val="tx1"/>
            </w14:solidFill>
          </w14:textFill>
        </w:rPr>
      </w:pPr>
      <w:r>
        <w:rPr>
          <w:rFonts w:hint="eastAsia"/>
          <w:color w:val="000000" w:themeColor="text1"/>
          <w:sz w:val="20"/>
          <w:szCs w:val="20"/>
          <w14:textFill>
            <w14:solidFill>
              <w14:schemeClr w14:val="tx1"/>
            </w14:solidFill>
          </w14:textFill>
        </w:rPr>
        <w:t xml:space="preserve">                    3. 《英语口译笔记法实战指导》，主编：吴钟明，武汉大学出版社</w:t>
      </w:r>
      <w:r>
        <w:rPr>
          <w:color w:val="000000"/>
          <w:sz w:val="20"/>
          <w:szCs w:val="20"/>
        </w:rPr>
        <w:t>】</w:t>
      </w:r>
    </w:p>
    <w:p>
      <w:pPr>
        <w:snapToGrid w:val="0"/>
        <w:spacing w:line="288" w:lineRule="auto"/>
        <w:ind w:firstLine="394" w:firstLineChars="196"/>
        <w:rPr>
          <w:b/>
          <w:bCs/>
          <w:color w:val="000000" w:themeColor="text1"/>
          <w:sz w:val="20"/>
          <w:szCs w:val="20"/>
          <w14:textFill>
            <w14:solidFill>
              <w14:schemeClr w14:val="tx1"/>
            </w14:solidFill>
          </w14:textFill>
        </w:rPr>
      </w:pPr>
      <w:r>
        <w:rPr>
          <w:rFonts w:hint="eastAsia"/>
          <w:b/>
          <w:bCs/>
          <w:color w:val="000000" w:themeColor="text1"/>
          <w:sz w:val="20"/>
          <w:szCs w:val="20"/>
          <w14:textFill>
            <w14:solidFill>
              <w14:schemeClr w14:val="tx1"/>
            </w14:solidFill>
          </w14:textFill>
        </w:rPr>
        <w:t>课程网站网址：</w:t>
      </w:r>
      <w:r>
        <w:fldChar w:fldCharType="begin"/>
      </w:r>
      <w:r>
        <w:instrText xml:space="preserve"> HYPERLINK "http://www.gench.edu.cn/" </w:instrText>
      </w:r>
      <w:r>
        <w:fldChar w:fldCharType="separate"/>
      </w:r>
      <w:r>
        <w:rPr>
          <w:rStyle w:val="8"/>
          <w:b/>
          <w:bCs/>
          <w:color w:val="000000" w:themeColor="text1"/>
          <w:sz w:val="20"/>
          <w:szCs w:val="20"/>
          <w14:textFill>
            <w14:solidFill>
              <w14:schemeClr w14:val="tx1"/>
            </w14:solidFill>
          </w14:textFill>
        </w:rPr>
        <w:t>http://www.gench.edu.cn/</w:t>
      </w:r>
      <w:r>
        <w:rPr>
          <w:rStyle w:val="8"/>
          <w:b/>
          <w:bCs/>
          <w:color w:val="000000" w:themeColor="text1"/>
          <w:sz w:val="20"/>
          <w:szCs w:val="20"/>
          <w14:textFill>
            <w14:solidFill>
              <w14:schemeClr w14:val="tx1"/>
            </w14:solidFill>
          </w14:textFill>
        </w:rPr>
        <w:fldChar w:fldCharType="end"/>
      </w:r>
    </w:p>
    <w:p>
      <w:pPr>
        <w:adjustRightInd w:val="0"/>
        <w:snapToGrid w:val="0"/>
        <w:spacing w:line="288" w:lineRule="auto"/>
        <w:ind w:firstLine="394" w:firstLineChars="196"/>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先修课程：</w:t>
      </w:r>
      <w:r>
        <w:rPr>
          <w:color w:val="000000"/>
          <w:sz w:val="20"/>
          <w:szCs w:val="20"/>
        </w:rPr>
        <w:t>【</w:t>
      </w:r>
      <w:r>
        <w:rPr>
          <w:rFonts w:hint="eastAsia"/>
          <w:bCs/>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基础英语（</w:t>
      </w:r>
      <w:r>
        <w:rPr>
          <w:color w:val="000000" w:themeColor="text1"/>
          <w:sz w:val="20"/>
          <w:szCs w:val="20"/>
          <w14:textFill>
            <w14:solidFill>
              <w14:schemeClr w14:val="tx1"/>
            </w14:solidFill>
          </w14:textFill>
        </w:rPr>
        <w:t>1-4</w:t>
      </w:r>
      <w:r>
        <w:rPr>
          <w:rFonts w:hint="eastAsia"/>
          <w:color w:val="000000" w:themeColor="text1"/>
          <w:sz w:val="20"/>
          <w:szCs w:val="20"/>
          <w14:textFill>
            <w14:solidFill>
              <w14:schemeClr w14:val="tx1"/>
            </w14:solidFill>
          </w14:textFill>
        </w:rPr>
        <w:t>）》、《英语听力（</w:t>
      </w:r>
      <w:r>
        <w:rPr>
          <w:color w:val="000000" w:themeColor="text1"/>
          <w:sz w:val="20"/>
          <w:szCs w:val="20"/>
          <w14:textFill>
            <w14:solidFill>
              <w14:schemeClr w14:val="tx1"/>
            </w14:solidFill>
          </w14:textFill>
        </w:rPr>
        <w:t>1-4</w:t>
      </w:r>
      <w:r>
        <w:rPr>
          <w:rFonts w:hint="eastAsia"/>
          <w:color w:val="000000" w:themeColor="text1"/>
          <w:sz w:val="20"/>
          <w:szCs w:val="20"/>
          <w14:textFill>
            <w14:solidFill>
              <w14:schemeClr w14:val="tx1"/>
            </w14:solidFill>
          </w14:textFill>
        </w:rPr>
        <w:t>）》</w:t>
      </w:r>
      <w:r>
        <w:rPr>
          <w:color w:val="000000"/>
          <w:sz w:val="20"/>
          <w:szCs w:val="20"/>
        </w:rPr>
        <w:t>】</w:t>
      </w:r>
    </w:p>
    <w:p>
      <w:pPr>
        <w:adjustRightInd w:val="0"/>
        <w:snapToGrid w:val="0"/>
        <w:spacing w:before="156" w:beforeLines="50" w:after="156" w:afterLines="50" w:line="288" w:lineRule="auto"/>
        <w:ind w:firstLine="348" w:firstLineChars="145"/>
        <w:rPr>
          <w:b/>
          <w:color w:val="000000" w:themeColor="text1"/>
          <w:sz w:val="24"/>
          <w:szCs w:val="20"/>
          <w14:textFill>
            <w14:solidFill>
              <w14:schemeClr w14:val="tx1"/>
            </w14:solidFill>
          </w14:textFill>
        </w:rPr>
      </w:pPr>
      <w:r>
        <w:rPr>
          <w:rFonts w:ascii="黑体" w:hAnsi="宋体" w:eastAsia="黑体"/>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课程简介</w:t>
      </w:r>
    </w:p>
    <w:p>
      <w:pPr>
        <w:widowControl/>
        <w:spacing w:before="156" w:beforeLines="50" w:after="156" w:afterLines="50" w:line="288" w:lineRule="auto"/>
        <w:ind w:left="348" w:firstLine="420"/>
        <w:rPr>
          <w:sz w:val="20"/>
          <w:szCs w:val="20"/>
        </w:rPr>
      </w:pPr>
      <w:r>
        <w:rPr>
          <w:rFonts w:hint="eastAsia"/>
          <w:sz w:val="20"/>
          <w:szCs w:val="20"/>
        </w:rPr>
        <w:t>《口译》是为英语本科</w:t>
      </w:r>
      <w:r>
        <w:rPr>
          <w:rFonts w:hint="eastAsia"/>
          <w:sz w:val="20"/>
          <w:szCs w:val="20"/>
          <w:lang w:eastAsia="zh-Hans"/>
        </w:rPr>
        <w:t>高年级</w:t>
      </w:r>
      <w:r>
        <w:rPr>
          <w:rFonts w:hint="eastAsia"/>
          <w:sz w:val="20"/>
          <w:szCs w:val="20"/>
        </w:rPr>
        <w:t>年级学生开设的英语专业</w:t>
      </w:r>
      <w:r>
        <w:rPr>
          <w:rFonts w:hint="eastAsia"/>
          <w:sz w:val="20"/>
          <w:szCs w:val="20"/>
          <w:lang w:eastAsia="zh-Hans"/>
        </w:rPr>
        <w:t>必修</w:t>
      </w:r>
      <w:r>
        <w:rPr>
          <w:rFonts w:hint="eastAsia"/>
          <w:sz w:val="20"/>
          <w:szCs w:val="20"/>
        </w:rPr>
        <w:t>课程。教学内容主要由讲授口译基本理论、训练口译基本技巧及培养口译员具有耐挫抗压、爱岗敬业，有效沟通、自主反思，信息的搜索、提炼与整合等工作素养</w:t>
      </w:r>
      <w:r>
        <w:rPr>
          <w:rFonts w:hint="eastAsia"/>
          <w:sz w:val="20"/>
          <w:szCs w:val="20"/>
          <w:lang w:eastAsia="zh-Hans"/>
        </w:rPr>
        <w:t>三</w:t>
      </w:r>
      <w:r>
        <w:rPr>
          <w:rFonts w:hint="eastAsia"/>
          <w:sz w:val="20"/>
          <w:szCs w:val="20"/>
        </w:rPr>
        <w:t>方面内容构成。教学方式以课堂教学为主，课后练习为辅。目的通过大量的专题型任务训练使学生掌握口译的基本理论和专题连续传译的技能，能够运用口译的信息听辨、提炼主旨、记忆方法、口头概述，口译笔记等技能，较准确、流畅地进行汉英对译，达到能够担任外宾日常生活口译</w:t>
      </w:r>
      <w:r>
        <w:rPr>
          <w:rFonts w:hint="eastAsia"/>
          <w:sz w:val="20"/>
          <w:szCs w:val="20"/>
          <w:lang w:eastAsia="zh-Hans"/>
        </w:rPr>
        <w:t>的</w:t>
      </w:r>
      <w:r>
        <w:rPr>
          <w:rFonts w:hint="eastAsia"/>
          <w:sz w:val="20"/>
          <w:szCs w:val="20"/>
        </w:rPr>
        <w:t>水平，同时充分认识口译工作在社会经济中的跨文化沟通</w:t>
      </w:r>
      <w:r>
        <w:rPr>
          <w:rFonts w:hint="eastAsia"/>
          <w:sz w:val="20"/>
          <w:szCs w:val="20"/>
          <w:lang w:eastAsia="zh-Hans"/>
        </w:rPr>
        <w:t>的</w:t>
      </w:r>
      <w:r>
        <w:rPr>
          <w:rFonts w:hint="eastAsia"/>
          <w:sz w:val="20"/>
          <w:szCs w:val="20"/>
        </w:rPr>
        <w:t>桥梁作用和地位并具备相应的国际视野，及爱国守法、守信守责的职业道德操守。</w:t>
      </w:r>
    </w:p>
    <w:p>
      <w:pPr>
        <w:widowControl/>
        <w:spacing w:before="156" w:beforeLines="50" w:after="156" w:afterLines="50" w:line="288" w:lineRule="auto"/>
        <w:ind w:left="348" w:firstLine="420"/>
        <w:rPr>
          <w:sz w:val="20"/>
          <w:szCs w:val="20"/>
        </w:rPr>
      </w:pPr>
      <w:r>
        <w:rPr>
          <w:rFonts w:hint="eastAsia"/>
          <w:sz w:val="20"/>
          <w:szCs w:val="20"/>
          <w:lang w:eastAsia="zh-Hans"/>
        </w:rPr>
        <w:t>在教授本门课程的时候</w:t>
      </w:r>
      <w:r>
        <w:rPr>
          <w:sz w:val="20"/>
          <w:szCs w:val="20"/>
          <w:lang w:eastAsia="zh-Hans"/>
        </w:rPr>
        <w:t>，</w:t>
      </w:r>
      <w:r>
        <w:rPr>
          <w:rFonts w:hint="eastAsia"/>
          <w:sz w:val="20"/>
          <w:szCs w:val="20"/>
          <w:lang w:eastAsia="zh-Hans"/>
        </w:rPr>
        <w:t>需要特别注意对于学生在日常口译过程中</w:t>
      </w:r>
      <w:r>
        <w:rPr>
          <w:sz w:val="20"/>
          <w:szCs w:val="20"/>
          <w:lang w:eastAsia="zh-Hans"/>
        </w:rPr>
        <w:t>，</w:t>
      </w:r>
      <w:r>
        <w:rPr>
          <w:rFonts w:hint="eastAsia"/>
          <w:sz w:val="20"/>
          <w:szCs w:val="20"/>
          <w:lang w:eastAsia="zh-Hans"/>
        </w:rPr>
        <w:t>爱国主义方面的宣传教育</w:t>
      </w:r>
      <w:r>
        <w:rPr>
          <w:sz w:val="20"/>
          <w:szCs w:val="20"/>
          <w:lang w:eastAsia="zh-Hans"/>
        </w:rPr>
        <w:t>，</w:t>
      </w:r>
      <w:r>
        <w:rPr>
          <w:rFonts w:hint="eastAsia"/>
          <w:sz w:val="20"/>
          <w:szCs w:val="20"/>
          <w:lang w:eastAsia="zh-Hans"/>
        </w:rPr>
        <w:t>要培养学生</w:t>
      </w:r>
      <w:r>
        <w:rPr>
          <w:sz w:val="20"/>
          <w:szCs w:val="20"/>
          <w:lang w:eastAsia="zh-Hans"/>
        </w:rPr>
        <w:t>，</w:t>
      </w:r>
      <w:r>
        <w:rPr>
          <w:rFonts w:hint="eastAsia"/>
          <w:sz w:val="20"/>
          <w:szCs w:val="20"/>
          <w:lang w:eastAsia="zh-Hans"/>
        </w:rPr>
        <w:t>让他们时刻记住自己是中国人的身份</w:t>
      </w:r>
      <w:r>
        <w:rPr>
          <w:sz w:val="20"/>
          <w:szCs w:val="20"/>
          <w:lang w:eastAsia="zh-Hans"/>
        </w:rPr>
        <w:t>，</w:t>
      </w:r>
      <w:r>
        <w:rPr>
          <w:rFonts w:hint="eastAsia"/>
          <w:sz w:val="20"/>
          <w:szCs w:val="20"/>
          <w:lang w:eastAsia="zh-Hans"/>
        </w:rPr>
        <w:t>时刻以国家的利益为重</w:t>
      </w:r>
      <w:r>
        <w:rPr>
          <w:sz w:val="20"/>
          <w:szCs w:val="20"/>
          <w:lang w:eastAsia="zh-Hans"/>
        </w:rPr>
        <w:t>，</w:t>
      </w:r>
      <w:r>
        <w:rPr>
          <w:rFonts w:hint="eastAsia"/>
          <w:sz w:val="20"/>
          <w:szCs w:val="20"/>
          <w:lang w:eastAsia="zh-Hans"/>
        </w:rPr>
        <w:t>要有底线思维，在日常口译过程中</w:t>
      </w:r>
      <w:r>
        <w:rPr>
          <w:sz w:val="20"/>
          <w:szCs w:val="20"/>
          <w:lang w:eastAsia="zh-Hans"/>
        </w:rPr>
        <w:t>，</w:t>
      </w:r>
      <w:r>
        <w:rPr>
          <w:rFonts w:hint="eastAsia"/>
          <w:sz w:val="20"/>
          <w:szCs w:val="20"/>
          <w:lang w:eastAsia="zh-Hans"/>
        </w:rPr>
        <w:t>如果遇到与国家利益相冲突的场景</w:t>
      </w:r>
      <w:r>
        <w:rPr>
          <w:sz w:val="20"/>
          <w:szCs w:val="20"/>
          <w:lang w:eastAsia="zh-Hans"/>
        </w:rPr>
        <w:t>，</w:t>
      </w:r>
      <w:r>
        <w:rPr>
          <w:rFonts w:hint="eastAsia"/>
          <w:sz w:val="20"/>
          <w:szCs w:val="20"/>
          <w:lang w:eastAsia="zh-Hans"/>
        </w:rPr>
        <w:t>要坚定立场</w:t>
      </w:r>
      <w:r>
        <w:rPr>
          <w:sz w:val="20"/>
          <w:szCs w:val="20"/>
          <w:lang w:eastAsia="zh-Hans"/>
        </w:rPr>
        <w:t>。</w:t>
      </w:r>
      <w:r>
        <w:rPr>
          <w:rFonts w:hint="eastAsia"/>
          <w:sz w:val="20"/>
          <w:szCs w:val="20"/>
          <w:lang w:eastAsia="zh-Hans"/>
        </w:rPr>
        <w:t>在口译专业性和专业精神方面，在日常的教学中也要注意培养学生此方面的相关素养，提醒学生在进行口译的时候，一定要进行相应地事前准备，了解口译主题的相关背景，不能随便乱翻译，翻译的内容一定要实事求是，力求准确。此门课程对于学生的团队合作精神的培养，也有一定的促进作用。口译工作在某种程度上，也是团队合作的结果，特别是会议同传，需要多人配合共同完成。在日常教学中，会通过一定的分组任务和小组学习，注重学生团队合作</w:t>
      </w:r>
      <w:r>
        <w:rPr>
          <w:rFonts w:hint="eastAsia"/>
          <w:sz w:val="20"/>
          <w:szCs w:val="20"/>
        </w:rPr>
        <w:t>精神</w:t>
      </w:r>
      <w:r>
        <w:rPr>
          <w:rFonts w:hint="eastAsia"/>
          <w:sz w:val="20"/>
          <w:szCs w:val="20"/>
          <w:lang w:eastAsia="zh-Hans"/>
        </w:rPr>
        <w:t>的培养。</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left="360" w:firstLine="420" w:firstLineChars="210"/>
        <w:jc w:val="left"/>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本课程适合英语专业三年级</w:t>
      </w:r>
      <w:r>
        <w:rPr>
          <w:rFonts w:hint="eastAsia"/>
          <w:color w:val="000000" w:themeColor="text1"/>
          <w:sz w:val="20"/>
          <w:szCs w:val="20"/>
          <w:lang w:eastAsia="zh-Hans"/>
          <w14:textFill>
            <w14:solidFill>
              <w14:schemeClr w14:val="tx1"/>
            </w14:solidFill>
          </w14:textFill>
        </w:rPr>
        <w:t>及</w:t>
      </w:r>
      <w:r>
        <w:rPr>
          <w:rFonts w:hint="eastAsia"/>
          <w:color w:val="000000" w:themeColor="text1"/>
          <w:sz w:val="20"/>
          <w:szCs w:val="20"/>
          <w14:textFill>
            <w14:solidFill>
              <w14:schemeClr w14:val="tx1"/>
            </w14:solidFill>
          </w14:textFill>
        </w:rPr>
        <w:t>以上学生，学生</w:t>
      </w:r>
      <w:r>
        <w:rPr>
          <w:rFonts w:hint="eastAsia"/>
          <w:color w:val="000000" w:themeColor="text1"/>
          <w:sz w:val="20"/>
          <w:szCs w:val="20"/>
          <w:lang w:eastAsia="zh-Hans"/>
          <w14:textFill>
            <w14:solidFill>
              <w14:schemeClr w14:val="tx1"/>
            </w14:solidFill>
          </w14:textFill>
        </w:rPr>
        <w:t>在上课前</w:t>
      </w:r>
      <w:r>
        <w:rPr>
          <w:color w:val="000000" w:themeColor="text1"/>
          <w:sz w:val="20"/>
          <w:szCs w:val="20"/>
          <w:lang w:eastAsia="zh-Hans"/>
          <w14:textFill>
            <w14:solidFill>
              <w14:schemeClr w14:val="tx1"/>
            </w14:solidFill>
          </w14:textFill>
        </w:rPr>
        <w:t>，</w:t>
      </w:r>
      <w:r>
        <w:rPr>
          <w:rFonts w:hint="eastAsia"/>
          <w:color w:val="000000" w:themeColor="text1"/>
          <w:sz w:val="20"/>
          <w:szCs w:val="20"/>
          <w:lang w:eastAsia="zh-Hans"/>
          <w14:textFill>
            <w14:solidFill>
              <w14:schemeClr w14:val="tx1"/>
            </w14:solidFill>
          </w14:textFill>
        </w:rPr>
        <w:t>需</w:t>
      </w:r>
      <w:r>
        <w:rPr>
          <w:rFonts w:hint="eastAsia"/>
          <w:color w:val="000000" w:themeColor="text1"/>
          <w:sz w:val="20"/>
          <w:szCs w:val="20"/>
          <w14:textFill>
            <w14:solidFill>
              <w14:schemeClr w14:val="tx1"/>
            </w14:solidFill>
          </w14:textFill>
        </w:rPr>
        <w:t>完成英语专业基础课程，具有较大的词汇量</w:t>
      </w:r>
      <w:r>
        <w:rPr>
          <w:color w:val="000000" w:themeColor="text1"/>
          <w:sz w:val="20"/>
          <w:szCs w:val="20"/>
          <w14:textFill>
            <w14:solidFill>
              <w14:schemeClr w14:val="tx1"/>
            </w14:solidFill>
          </w14:textFill>
        </w:rPr>
        <w:t>，</w:t>
      </w:r>
      <w:r>
        <w:rPr>
          <w:rFonts w:hint="eastAsia"/>
          <w:color w:val="000000" w:themeColor="text1"/>
          <w:sz w:val="20"/>
          <w:szCs w:val="20"/>
          <w14:textFill>
            <w14:solidFill>
              <w14:schemeClr w14:val="tx1"/>
            </w14:solidFill>
          </w14:textFill>
        </w:rPr>
        <w:t>较扎实的语法知识以及较强的英语听说能力。</w:t>
      </w:r>
    </w:p>
    <w:p>
      <w:pPr>
        <w:widowControl/>
        <w:spacing w:before="156" w:beforeLines="50" w:after="156" w:afterLines="50" w:line="288" w:lineRule="auto"/>
        <w:ind w:left="360" w:firstLine="420" w:firstLineChars="210"/>
        <w:jc w:val="left"/>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ascii="黑体" w:hAnsi="宋体" w:eastAsia="黑体"/>
          <w:color w:val="000000" w:themeColor="text1"/>
          <w:sz w:val="24"/>
          <w14:textFill>
            <w14:solidFill>
              <w14:schemeClr w14:val="tx1"/>
            </w14:solidFill>
          </w14:textFill>
        </w:rPr>
        <w:t>四</w:t>
      </w:r>
      <w:r>
        <w:rPr>
          <w:rFonts w:hint="eastAsia" w:ascii="黑体" w:hAnsi="宋体" w:eastAsia="黑体"/>
          <w:color w:val="000000" w:themeColor="text1"/>
          <w:sz w:val="24"/>
          <w14:textFill>
            <w14:solidFill>
              <w14:schemeClr w14:val="tx1"/>
            </w14:solidFill>
          </w14:textFill>
        </w:rPr>
        <w:t>、</w:t>
      </w:r>
      <w:r>
        <w:rPr>
          <w:rFonts w:ascii="黑体" w:hAnsi="宋体" w:eastAsia="黑体"/>
          <w:color w:val="000000" w:themeColor="text1"/>
          <w:sz w:val="24"/>
          <w14:textFill>
            <w14:solidFill>
              <w14:schemeClr w14:val="tx1"/>
            </w14:solidFill>
          </w14:textFill>
        </w:rPr>
        <w:t>课程与</w:t>
      </w:r>
      <w:r>
        <w:rPr>
          <w:rFonts w:hint="eastAsia" w:ascii="黑体" w:hAnsi="宋体" w:eastAsia="黑体"/>
          <w:color w:val="000000" w:themeColor="text1"/>
          <w:sz w:val="24"/>
          <w14:textFill>
            <w14:solidFill>
              <w14:schemeClr w14:val="tx1"/>
            </w14:solidFill>
          </w14:textFill>
        </w:rPr>
        <w:t>专业毕业要求</w:t>
      </w:r>
      <w:r>
        <w:rPr>
          <w:rFonts w:ascii="黑体" w:hAnsi="宋体" w:eastAsia="黑体"/>
          <w:color w:val="000000" w:themeColor="text1"/>
          <w:sz w:val="24"/>
          <w14:textFill>
            <w14:solidFill>
              <w14:schemeClr w14:val="tx1"/>
            </w14:solidFill>
          </w14:textFill>
        </w:rPr>
        <w:t>的关联性</w:t>
      </w:r>
    </w:p>
    <w:tbl>
      <w:tblPr>
        <w:tblStyle w:val="6"/>
        <w:tblpPr w:leftFromText="180" w:rightFromText="180" w:vertAnchor="text" w:horzAnchor="page" w:tblpX="1632" w:tblpY="242"/>
        <w:tblOverlap w:val="never"/>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2"/>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312" w:type="dxa"/>
          </w:tcPr>
          <w:p>
            <w:pPr>
              <w:jc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专业毕业要求</w:t>
            </w:r>
          </w:p>
        </w:tc>
        <w:tc>
          <w:tcPr>
            <w:tcW w:w="800" w:type="dxa"/>
          </w:tcPr>
          <w:p>
            <w:pPr>
              <w:jc w:val="center"/>
              <w:rPr>
                <w:rFonts w:ascii="黑体" w:hAnsi="黑体" w:eastAsia="黑体" w:cs="黑体"/>
                <w:color w:val="000000" w:themeColor="text1"/>
                <w:kern w:val="0"/>
                <w:sz w:val="20"/>
                <w:szCs w:val="20"/>
                <w14:textFill>
                  <w14:solidFill>
                    <w14:schemeClr w14:val="tx1"/>
                  </w14:solidFill>
                </w14:textFill>
              </w:rPr>
            </w:pPr>
            <w:r>
              <w:rPr>
                <w:rFonts w:hint="eastAsia" w:ascii="黑体" w:hAnsi="黑体" w:eastAsia="黑体" w:cs="黑体"/>
                <w:color w:val="000000" w:themeColor="text1"/>
                <w:kern w:val="0"/>
                <w:sz w:val="20"/>
                <w:szCs w:val="20"/>
                <w14:textFill>
                  <w14:solidFill>
                    <w14:schemeClr w14:val="tx1"/>
                  </w14:solidFill>
                </w14:textFill>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312" w:type="dxa"/>
            <w:vAlign w:val="center"/>
          </w:tcPr>
          <w:p>
            <w:pPr>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LO11：</w:t>
            </w:r>
            <w:r>
              <w:rPr>
                <w:rFonts w:hint="eastAsia" w:ascii="宋体" w:hAnsi="宋体" w:cs="宋体"/>
                <w:kern w:val="0"/>
                <w:szCs w:val="21"/>
              </w:rPr>
              <w:t>理解他人的观点，尊重他人的价值观，能在不同场合用书面或口头形式进行有效沟通。</w:t>
            </w:r>
          </w:p>
        </w:tc>
        <w:tc>
          <w:tcPr>
            <w:tcW w:w="800" w:type="dxa"/>
            <w:vAlign w:val="center"/>
          </w:tcPr>
          <w:p>
            <w:pPr>
              <w:jc w:val="center"/>
              <w:rPr>
                <w:rFonts w:ascii="宋体" w:hAnsi="宋体" w:cs="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312" w:type="dxa"/>
            <w:vAlign w:val="center"/>
          </w:tcPr>
          <w:p>
            <w:pPr>
              <w:widowControl/>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LO21：学生能根据环境需要确定自己的学习目标，并主动地通过搜集信息、分析信息、讨论、实践、质疑、创造等方法来实现学习目标。</w:t>
            </w:r>
          </w:p>
        </w:tc>
        <w:tc>
          <w:tcPr>
            <w:tcW w:w="800" w:type="dxa"/>
            <w:vAlign w:val="center"/>
          </w:tcPr>
          <w:p>
            <w:pPr>
              <w:widowControl/>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312" w:type="dxa"/>
            <w:vAlign w:val="center"/>
          </w:tcPr>
          <w:p>
            <w:pPr>
              <w:widowControl/>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LO31：掌握扎实的英语语言基础知识，培养扎实的语言基本功和听、说、读、写、译等语言应用能力。</w:t>
            </w:r>
          </w:p>
        </w:tc>
        <w:tc>
          <w:tcPr>
            <w:tcW w:w="80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312" w:type="dxa"/>
            <w:vAlign w:val="center"/>
          </w:tcPr>
          <w:p>
            <w:pPr>
              <w:widowControl/>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LO32：掌握英语语言学、文学等相关知识，具备文学欣赏与文本分析能力。</w:t>
            </w:r>
          </w:p>
        </w:tc>
        <w:tc>
          <w:tcPr>
            <w:tcW w:w="800" w:type="dxa"/>
            <w:vAlign w:val="center"/>
          </w:tcPr>
          <w:p>
            <w:pPr>
              <w:widowControl/>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12" w:type="dxa"/>
            <w:vAlign w:val="center"/>
          </w:tcPr>
          <w:p>
            <w:pPr>
              <w:widowControl/>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LO33：了解中西文化差异和跨文化的理论知识，具备较强的跨文化沟通能力。</w:t>
            </w:r>
          </w:p>
        </w:tc>
        <w:tc>
          <w:tcPr>
            <w:tcW w:w="800" w:type="dxa"/>
            <w:vAlign w:val="center"/>
          </w:tcPr>
          <w:p>
            <w:pPr>
              <w:widowControl/>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312" w:type="dxa"/>
            <w:vAlign w:val="center"/>
          </w:tcPr>
          <w:p>
            <w:pPr>
              <w:widowControl/>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LO34：掌握商务实践知识，具有较强的外贸实务操作能力。</w:t>
            </w:r>
          </w:p>
        </w:tc>
        <w:tc>
          <w:tcPr>
            <w:tcW w:w="800" w:type="dxa"/>
            <w:vAlign w:val="center"/>
          </w:tcPr>
          <w:p>
            <w:pPr>
              <w:widowControl/>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312" w:type="dxa"/>
            <w:vAlign w:val="center"/>
          </w:tcPr>
          <w:p>
            <w:pPr>
              <w:widowControl/>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LO41：遵守纪律、守信守责；具有耐挫折、抗压力的能力。</w:t>
            </w:r>
          </w:p>
        </w:tc>
        <w:tc>
          <w:tcPr>
            <w:tcW w:w="800" w:type="dxa"/>
            <w:vAlign w:val="center"/>
          </w:tcPr>
          <w:p>
            <w:pPr>
              <w:widowControl/>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312" w:type="dxa"/>
            <w:vAlign w:val="center"/>
          </w:tcPr>
          <w:p>
            <w:pPr>
              <w:widowControl/>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LO51：同群体保持良好的合作关系，做集体中的积极成员；善于从多个维度思考问题，利用自己的知识与实践来提出新设想。</w:t>
            </w:r>
          </w:p>
        </w:tc>
        <w:tc>
          <w:tcPr>
            <w:tcW w:w="80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312" w:type="dxa"/>
            <w:vAlign w:val="center"/>
          </w:tcPr>
          <w:p>
            <w:pPr>
              <w:widowControl/>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LO61：具备一定的信息素养，并能在工作中应用信息技术解决问题。</w:t>
            </w:r>
          </w:p>
        </w:tc>
        <w:tc>
          <w:tcPr>
            <w:tcW w:w="800" w:type="dxa"/>
            <w:vAlign w:val="center"/>
          </w:tcPr>
          <w:p>
            <w:pPr>
              <w:widowControl/>
              <w:jc w:val="center"/>
              <w:rPr>
                <w:rFonts w:ascii="宋体" w:hAnsi="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312" w:type="dxa"/>
            <w:vAlign w:val="center"/>
          </w:tcPr>
          <w:p>
            <w:pPr>
              <w:widowControl/>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LO71：</w:t>
            </w:r>
            <w:r>
              <w:rPr>
                <w:rFonts w:hint="eastAsia" w:ascii="宋体" w:hAnsi="宋体"/>
                <w:color w:val="000000" w:themeColor="text1"/>
                <w:szCs w:val="21"/>
                <w14:textFill>
                  <w14:solidFill>
                    <w14:schemeClr w14:val="tx1"/>
                  </w14:solidFill>
                </w14:textFill>
              </w:rPr>
              <w:t>愿意服务他人、服务企业、服务社会；为人热忱，富于爱心，懂得感恩（“感恩、回报、爱心”为我校校训内容之一）</w:t>
            </w:r>
          </w:p>
        </w:tc>
        <w:tc>
          <w:tcPr>
            <w:tcW w:w="800" w:type="dxa"/>
            <w:vAlign w:val="center"/>
          </w:tcPr>
          <w:p>
            <w:pPr>
              <w:widowControl/>
              <w:jc w:val="center"/>
              <w:rPr>
                <w:rFonts w:ascii="宋体" w:hAnsi="宋体" w:cs="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312" w:type="dxa"/>
            <w:vAlign w:val="center"/>
          </w:tcPr>
          <w:p>
            <w:pPr>
              <w:widowControl/>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LO81：具有初步的第二外语表达沟通能力,有国际竞争与合作意识。</w:t>
            </w:r>
          </w:p>
        </w:tc>
        <w:tc>
          <w:tcPr>
            <w:tcW w:w="800" w:type="dxa"/>
            <w:vAlign w:val="center"/>
          </w:tcPr>
          <w:p>
            <w:pPr>
              <w:widowControl/>
              <w:jc w:val="center"/>
              <w:rPr>
                <w:rFonts w:ascii="宋体" w:hAnsi="宋体" w:cs="宋体"/>
                <w:color w:val="000000" w:themeColor="text1"/>
                <w:kern w:val="0"/>
                <w:szCs w:val="21"/>
                <w14:textFill>
                  <w14:solidFill>
                    <w14:schemeClr w14:val="tx1"/>
                  </w14:solidFill>
                </w14:textFill>
              </w:rPr>
            </w:pPr>
          </w:p>
        </w:tc>
      </w:tr>
    </w:tbl>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备注：LO=</w:t>
      </w:r>
      <w:r>
        <w:rPr>
          <w:color w:val="000000" w:themeColor="text1"/>
          <w14:textFill>
            <w14:solidFill>
              <w14:schemeClr w14:val="tx1"/>
            </w14:solidFill>
          </w14:textFill>
        </w:rPr>
        <w:t>learning outcomes</w:t>
      </w:r>
      <w:r>
        <w:rPr>
          <w:rFonts w:hint="eastAsia"/>
          <w:color w:val="000000" w:themeColor="text1"/>
          <w14:textFill>
            <w14:solidFill>
              <w14:schemeClr w14:val="tx1"/>
            </w14:solidFill>
          </w14:textFill>
        </w:rPr>
        <w:t>（学习成果）</w:t>
      </w:r>
    </w:p>
    <w:p>
      <w:pPr>
        <w:rPr>
          <w:rFonts w:hint="eastAsia"/>
          <w:color w:val="000000" w:themeColor="text1"/>
          <w14:textFill>
            <w14:solidFill>
              <w14:schemeClr w14:val="tx1"/>
            </w14:solidFill>
          </w14:textFill>
        </w:rPr>
      </w:pPr>
    </w:p>
    <w:p>
      <w:pPr>
        <w:widowControl/>
        <w:spacing w:before="156" w:beforeLines="50" w:after="156" w:afterLines="50" w:line="288" w:lineRule="auto"/>
        <w:ind w:firstLine="360" w:firstLineChars="15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五、</w:t>
      </w:r>
      <w:r>
        <w:rPr>
          <w:rFonts w:ascii="黑体" w:hAnsi="宋体" w:eastAsia="黑体"/>
          <w:color w:val="000000" w:themeColor="text1"/>
          <w:sz w:val="24"/>
          <w14:textFill>
            <w14:solidFill>
              <w14:schemeClr w14:val="tx1"/>
            </w14:solidFill>
          </w14:textFill>
        </w:rPr>
        <w:t>课程</w:t>
      </w:r>
      <w:r>
        <w:rPr>
          <w:rFonts w:hint="eastAsia" w:ascii="黑体" w:hAnsi="宋体" w:eastAsia="黑体"/>
          <w:color w:val="000000" w:themeColor="text1"/>
          <w:sz w:val="24"/>
          <w14:textFill>
            <w14:solidFill>
              <w14:schemeClr w14:val="tx1"/>
            </w14:solidFill>
          </w14:textFill>
        </w:rPr>
        <w:t>目标/课程预期学习成果</w:t>
      </w:r>
    </w:p>
    <w:tbl>
      <w:tblPr>
        <w:tblStyle w:val="5"/>
        <w:tblpPr w:leftFromText="180" w:rightFromText="180" w:vertAnchor="text" w:horzAnchor="page" w:tblpX="1704" w:tblpY="152"/>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3119"/>
        <w:gridCol w:w="241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snapToGrid w:val="0"/>
              <w:spacing w:line="288"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序号</w:t>
            </w:r>
          </w:p>
        </w:tc>
        <w:tc>
          <w:tcPr>
            <w:tcW w:w="1134" w:type="dxa"/>
            <w:shd w:val="clear" w:color="auto" w:fill="auto"/>
            <w:vAlign w:val="center"/>
          </w:tcPr>
          <w:p>
            <w:pPr>
              <w:snapToGrid w:val="0"/>
              <w:spacing w:line="288"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课程预期</w:t>
            </w:r>
          </w:p>
          <w:p>
            <w:pPr>
              <w:snapToGrid w:val="0"/>
              <w:spacing w:line="288"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学习成果</w:t>
            </w:r>
          </w:p>
        </w:tc>
        <w:tc>
          <w:tcPr>
            <w:tcW w:w="3119" w:type="dxa"/>
            <w:shd w:val="clear" w:color="auto" w:fill="auto"/>
            <w:vAlign w:val="center"/>
          </w:tcPr>
          <w:p>
            <w:pPr>
              <w:snapToGrid w:val="0"/>
              <w:spacing w:line="288"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课程目标</w:t>
            </w:r>
          </w:p>
          <w:p>
            <w:pPr>
              <w:snapToGrid w:val="0"/>
              <w:spacing w:line="288" w:lineRule="auto"/>
              <w:jc w:val="lef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（细化的预期学习成果）</w:t>
            </w:r>
          </w:p>
        </w:tc>
        <w:tc>
          <w:tcPr>
            <w:tcW w:w="2410" w:type="dxa"/>
            <w:shd w:val="clear" w:color="auto" w:fill="auto"/>
            <w:vAlign w:val="center"/>
          </w:tcPr>
          <w:p>
            <w:pPr>
              <w:snapToGrid w:val="0"/>
              <w:spacing w:line="288"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教与学方式</w:t>
            </w:r>
          </w:p>
        </w:tc>
        <w:tc>
          <w:tcPr>
            <w:tcW w:w="1842" w:type="dxa"/>
            <w:shd w:val="clear" w:color="auto" w:fill="auto"/>
            <w:vAlign w:val="center"/>
          </w:tcPr>
          <w:p>
            <w:pPr>
              <w:snapToGrid w:val="0"/>
              <w:spacing w:line="288"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134" w:type="dxa"/>
            <w:shd w:val="clear" w:color="auto" w:fill="auto"/>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LO112</w:t>
            </w:r>
          </w:p>
        </w:tc>
        <w:tc>
          <w:tcPr>
            <w:tcW w:w="3119" w:type="dxa"/>
            <w:shd w:val="clear" w:color="auto" w:fill="auto"/>
            <w:vAlign w:val="center"/>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应用书面或口头形式，阐释自己的观点，有效沟通。</w:t>
            </w:r>
          </w:p>
        </w:tc>
        <w:tc>
          <w:tcPr>
            <w:tcW w:w="2410" w:type="dxa"/>
            <w:shd w:val="clear" w:color="auto" w:fill="auto"/>
            <w:vAlign w:val="center"/>
          </w:tcPr>
          <w:p>
            <w:pPr>
              <w:snapToGrid w:val="0"/>
              <w:spacing w:line="288"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自主学习法</w:t>
            </w:r>
          </w:p>
        </w:tc>
        <w:tc>
          <w:tcPr>
            <w:tcW w:w="1842" w:type="dxa"/>
            <w:shd w:val="clear" w:color="auto" w:fill="auto"/>
            <w:vAlign w:val="center"/>
          </w:tcPr>
          <w:p>
            <w:pPr>
              <w:snapToGrid w:val="0"/>
              <w:spacing w:line="288"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课堂提问+ 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134" w:type="dxa"/>
            <w:shd w:val="clear" w:color="auto" w:fill="auto"/>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LO313</w:t>
            </w:r>
          </w:p>
        </w:tc>
        <w:tc>
          <w:tcPr>
            <w:tcW w:w="3119" w:type="dxa"/>
            <w:shd w:val="clear" w:color="auto" w:fill="auto"/>
            <w:vAlign w:val="center"/>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了解口译的基本理论，掌握诸项口译技能，培养综合口译能力。</w:t>
            </w:r>
          </w:p>
        </w:tc>
        <w:tc>
          <w:tcPr>
            <w:tcW w:w="2410" w:type="dxa"/>
            <w:shd w:val="clear" w:color="auto" w:fill="auto"/>
            <w:vAlign w:val="center"/>
          </w:tcPr>
          <w:p>
            <w:pPr>
              <w:snapToGrid w:val="0"/>
              <w:spacing w:line="288"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项目教学法</w:t>
            </w:r>
          </w:p>
        </w:tc>
        <w:tc>
          <w:tcPr>
            <w:tcW w:w="1842" w:type="dxa"/>
            <w:shd w:val="clear" w:color="auto" w:fill="auto"/>
            <w:vAlign w:val="center"/>
          </w:tcPr>
          <w:p>
            <w:pPr>
              <w:snapToGrid w:val="0"/>
              <w:spacing w:line="288"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口译</w:t>
            </w:r>
            <w:r>
              <w:rPr>
                <w:rFonts w:hint="eastAsia" w:ascii="宋体" w:hAnsi="宋体"/>
                <w:color w:val="000000" w:themeColor="text1"/>
                <w:szCs w:val="21"/>
                <w:lang w:eastAsia="zh-Hans"/>
                <w14:textFill>
                  <w14:solidFill>
                    <w14:schemeClr w14:val="tx1"/>
                  </w14:solidFill>
                </w14:textFill>
              </w:rPr>
              <w:t>操练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1134" w:type="dxa"/>
            <w:shd w:val="clear" w:color="auto" w:fill="auto"/>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LO513</w:t>
            </w:r>
          </w:p>
        </w:tc>
        <w:tc>
          <w:tcPr>
            <w:tcW w:w="3119" w:type="dxa"/>
            <w:shd w:val="clear" w:color="auto" w:fill="auto"/>
            <w:vAlign w:val="center"/>
          </w:tcPr>
          <w:p>
            <w:pPr>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能用创新的方法或者多种方法，与小组成员合作解决复杂问题或真实问题。</w:t>
            </w:r>
          </w:p>
        </w:tc>
        <w:tc>
          <w:tcPr>
            <w:tcW w:w="2410" w:type="dxa"/>
            <w:shd w:val="clear" w:color="auto" w:fill="auto"/>
            <w:vAlign w:val="center"/>
          </w:tcPr>
          <w:p>
            <w:pPr>
              <w:snapToGrid w:val="0"/>
              <w:spacing w:line="288"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合作学习教学法</w:t>
            </w:r>
          </w:p>
          <w:p>
            <w:pPr>
              <w:snapToGrid w:val="0"/>
              <w:spacing w:line="288"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项目教学法</w:t>
            </w:r>
          </w:p>
        </w:tc>
        <w:tc>
          <w:tcPr>
            <w:tcW w:w="1842" w:type="dxa"/>
            <w:shd w:val="clear" w:color="auto" w:fill="auto"/>
            <w:vAlign w:val="center"/>
          </w:tcPr>
          <w:p>
            <w:pPr>
              <w:snapToGrid w:val="0"/>
              <w:spacing w:line="288"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口译</w:t>
            </w:r>
            <w:r>
              <w:rPr>
                <w:rFonts w:hint="eastAsia" w:ascii="宋体" w:hAnsi="宋体"/>
                <w:color w:val="000000" w:themeColor="text1"/>
                <w:szCs w:val="21"/>
                <w:lang w:eastAsia="zh-Hans"/>
                <w14:textFill>
                  <w14:solidFill>
                    <w14:schemeClr w14:val="tx1"/>
                  </w14:solidFill>
                </w14:textFill>
              </w:rPr>
              <w:t>操练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vAlign w:val="center"/>
          </w:tcPr>
          <w:p>
            <w:pPr>
              <w:rPr>
                <w:rFonts w:hint="eastAsia" w:ascii="宋体" w:hAnsi="宋体" w:cs="宋体"/>
                <w:color w:val="000000" w:themeColor="text1"/>
                <w:kern w:val="0"/>
                <w:szCs w:val="21"/>
                <w14:textFill>
                  <w14:solidFill>
                    <w14:schemeClr w14:val="tx1"/>
                  </w14:solidFill>
                </w14:textFill>
              </w:rPr>
            </w:pPr>
          </w:p>
          <w:p>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134" w:type="dxa"/>
            <w:shd w:val="clear" w:color="auto" w:fill="auto"/>
            <w:vAlign w:val="center"/>
          </w:tcPr>
          <w:p>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L</w:t>
            </w:r>
            <w:r>
              <w:rPr>
                <w:rFonts w:ascii="宋体" w:hAnsi="宋体" w:cs="宋体"/>
                <w:color w:val="000000" w:themeColor="text1"/>
                <w:kern w:val="0"/>
                <w:szCs w:val="21"/>
                <w14:textFill>
                  <w14:solidFill>
                    <w14:schemeClr w14:val="tx1"/>
                  </w14:solidFill>
                </w14:textFill>
              </w:rPr>
              <w:t>O711</w:t>
            </w:r>
          </w:p>
        </w:tc>
        <w:tc>
          <w:tcPr>
            <w:tcW w:w="3119" w:type="dxa"/>
            <w:shd w:val="clear" w:color="auto" w:fill="auto"/>
            <w:vAlign w:val="center"/>
          </w:tcPr>
          <w:p>
            <w:pPr>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通过当代中国相关话题的口译实践，了解中国特色话语体系，坚定“四个自信”，培养家国情怀和全球视野，提高讲好中国故事的能力。 </w:t>
            </w:r>
          </w:p>
        </w:tc>
        <w:tc>
          <w:tcPr>
            <w:tcW w:w="2410" w:type="dxa"/>
            <w:shd w:val="clear" w:color="auto" w:fill="auto"/>
            <w:vAlign w:val="center"/>
          </w:tcPr>
          <w:p>
            <w:pPr>
              <w:snapToGrid w:val="0"/>
              <w:spacing w:line="288"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合作学习教学法</w:t>
            </w:r>
          </w:p>
          <w:p>
            <w:pPr>
              <w:snapToGrid w:val="0"/>
              <w:spacing w:line="288"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项目教学法 </w:t>
            </w:r>
          </w:p>
        </w:tc>
        <w:tc>
          <w:tcPr>
            <w:tcW w:w="1842" w:type="dxa"/>
            <w:shd w:val="clear" w:color="auto" w:fill="auto"/>
            <w:vAlign w:val="center"/>
          </w:tcPr>
          <w:p>
            <w:pPr>
              <w:snapToGrid w:val="0"/>
              <w:spacing w:line="288" w:lineRule="auto"/>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口译</w:t>
            </w:r>
            <w:r>
              <w:rPr>
                <w:rFonts w:hint="eastAsia" w:ascii="宋体" w:hAnsi="宋体"/>
                <w:color w:val="000000" w:themeColor="text1"/>
                <w:szCs w:val="21"/>
                <w:lang w:eastAsia="zh-Hans"/>
                <w14:textFill>
                  <w14:solidFill>
                    <w14:schemeClr w14:val="tx1"/>
                  </w14:solidFill>
                </w14:textFill>
              </w:rPr>
              <w:t>操练</w:t>
            </w:r>
          </w:p>
        </w:tc>
      </w:tr>
    </w:tbl>
    <w:p>
      <w:pPr>
        <w:widowControl/>
        <w:spacing w:before="156" w:beforeLines="50" w:after="156" w:afterLines="50" w:line="288" w:lineRule="auto"/>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六、</w:t>
      </w:r>
      <w:r>
        <w:rPr>
          <w:rFonts w:ascii="黑体" w:hAnsi="宋体" w:eastAsia="黑体"/>
          <w:color w:val="000000" w:themeColor="text1"/>
          <w:sz w:val="24"/>
          <w14:textFill>
            <w14:solidFill>
              <w14:schemeClr w14:val="tx1"/>
            </w14:solidFill>
          </w14:textFill>
        </w:rPr>
        <w:t>课程内容</w:t>
      </w:r>
    </w:p>
    <w:tbl>
      <w:tblPr>
        <w:tblStyle w:val="6"/>
        <w:tblW w:w="908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349"/>
        <w:gridCol w:w="3233"/>
        <w:gridCol w:w="913"/>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20" w:type="dxa"/>
            <w:vAlign w:val="center"/>
          </w:tcPr>
          <w:p>
            <w:pPr>
              <w:snapToGrid w:val="0"/>
              <w:spacing w:line="288"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教学单元</w:t>
            </w:r>
          </w:p>
        </w:tc>
        <w:tc>
          <w:tcPr>
            <w:tcW w:w="3349" w:type="dxa"/>
            <w:tcBorders>
              <w:bottom w:val="single" w:color="auto" w:sz="4" w:space="0"/>
            </w:tcBorders>
            <w:vAlign w:val="center"/>
          </w:tcPr>
          <w:p>
            <w:pPr>
              <w:snapToGrid w:val="0"/>
              <w:spacing w:line="288"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知识点</w:t>
            </w:r>
          </w:p>
        </w:tc>
        <w:tc>
          <w:tcPr>
            <w:tcW w:w="3233" w:type="dxa"/>
            <w:vAlign w:val="center"/>
          </w:tcPr>
          <w:p>
            <w:pPr>
              <w:snapToGrid w:val="0"/>
              <w:spacing w:line="288" w:lineRule="auto"/>
              <w:jc w:val="center"/>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能力要求</w:t>
            </w:r>
          </w:p>
        </w:tc>
        <w:tc>
          <w:tcPr>
            <w:tcW w:w="913" w:type="dxa"/>
            <w:vAlign w:val="center"/>
          </w:tcPr>
          <w:p>
            <w:pPr>
              <w:snapToGrid w:val="0"/>
              <w:spacing w:line="288" w:lineRule="auto"/>
              <w:jc w:val="center"/>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理论课时数</w:t>
            </w:r>
          </w:p>
        </w:tc>
        <w:tc>
          <w:tcPr>
            <w:tcW w:w="969" w:type="dxa"/>
            <w:vAlign w:val="center"/>
          </w:tcPr>
          <w:p>
            <w:pPr>
              <w:snapToGrid w:val="0"/>
              <w:spacing w:line="288" w:lineRule="auto"/>
              <w:jc w:val="center"/>
              <w:rPr>
                <w:rFonts w:ascii="宋体" w:hAnsi="宋体"/>
                <w:b/>
                <w:bCs/>
                <w:color w:val="000000" w:themeColor="text1"/>
                <w:sz w:val="20"/>
                <w:szCs w:val="20"/>
                <w14:textFill>
                  <w14:solidFill>
                    <w14:schemeClr w14:val="tx1"/>
                  </w14:solidFill>
                </w14:textFill>
              </w:rPr>
            </w:pPr>
            <w:r>
              <w:rPr>
                <w:rFonts w:hint="eastAsia" w:ascii="宋体" w:hAnsi="宋体"/>
                <w:b/>
                <w:bCs/>
                <w:color w:val="000000" w:themeColor="text1"/>
                <w:sz w:val="20"/>
                <w:szCs w:val="20"/>
                <w14:textFill>
                  <w14:solidFill>
                    <w14:schemeClr w14:val="tx1"/>
                  </w14:solidFill>
                </w14:textFill>
              </w:rPr>
              <w:t>实践课时数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0" w:type="dxa"/>
            <w:vMerge w:val="restart"/>
            <w:tcBorders>
              <w:right w:val="single" w:color="auto" w:sz="4" w:space="0"/>
            </w:tcBorders>
            <w:vAlign w:val="center"/>
          </w:tcPr>
          <w:p>
            <w:pPr>
              <w:snapToGrid w:val="0"/>
              <w:spacing w:line="288"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第一单元</w:t>
            </w:r>
          </w:p>
        </w:tc>
        <w:tc>
          <w:tcPr>
            <w:tcW w:w="3349"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ascii="宋体" w:hAnsi="宋体"/>
                <w:szCs w:val="21"/>
              </w:rPr>
            </w:pPr>
            <w:r>
              <w:rPr>
                <w:rFonts w:ascii="宋体" w:hAnsi="宋体"/>
                <w:szCs w:val="21"/>
              </w:rPr>
              <w:t>1</w:t>
            </w:r>
            <w:r>
              <w:rPr>
                <w:rFonts w:hint="eastAsia" w:ascii="宋体" w:hAnsi="宋体"/>
                <w:szCs w:val="21"/>
                <w:lang w:eastAsia="zh-Hans"/>
              </w:rPr>
              <w:t>.</w:t>
            </w:r>
            <w:r>
              <w:rPr>
                <w:rFonts w:hint="eastAsia" w:ascii="宋体" w:hAnsi="宋体"/>
                <w:szCs w:val="21"/>
              </w:rPr>
              <w:t>理解、运用如何选择关键词</w:t>
            </w:r>
          </w:p>
          <w:p>
            <w:pPr>
              <w:snapToGrid w:val="0"/>
              <w:spacing w:line="288" w:lineRule="auto"/>
              <w:rPr>
                <w:rFonts w:ascii="宋体" w:hAnsi="宋体"/>
                <w:szCs w:val="21"/>
              </w:rPr>
            </w:pPr>
            <w:r>
              <w:rPr>
                <w:rFonts w:ascii="宋体" w:hAnsi="宋体"/>
                <w:szCs w:val="21"/>
              </w:rPr>
              <w:t>2</w:t>
            </w:r>
            <w:r>
              <w:rPr>
                <w:rFonts w:hint="eastAsia" w:ascii="宋体" w:hAnsi="宋体"/>
                <w:szCs w:val="21"/>
                <w:lang w:eastAsia="zh-Hans"/>
              </w:rPr>
              <w:t>.</w:t>
            </w:r>
            <w:r>
              <w:rPr>
                <w:rFonts w:hint="eastAsia" w:ascii="宋体" w:hAnsi="宋体"/>
                <w:szCs w:val="21"/>
              </w:rPr>
              <w:t>理解、运用如何精简关键词</w:t>
            </w:r>
          </w:p>
          <w:p>
            <w:pPr>
              <w:snapToGrid w:val="0"/>
              <w:spacing w:line="288" w:lineRule="auto"/>
              <w:rPr>
                <w:rFonts w:ascii="宋体" w:hAnsi="宋体"/>
                <w:szCs w:val="21"/>
              </w:rPr>
            </w:pPr>
            <w:r>
              <w:rPr>
                <w:rFonts w:hint="eastAsia" w:ascii="宋体" w:hAnsi="宋体"/>
                <w:szCs w:val="21"/>
                <w:lang w:eastAsia="zh-Hans"/>
              </w:rPr>
              <w:t>思政要点:在关键词的选取和精简上,特别是在关键词的精简部分告诉学生在一些常用的政府公告等内容上会有些常用的词语搭配是可以通过对于搭配的记忆和熟悉来进行精简的,给学生在练习中,适当选取相关联系材料。</w:t>
            </w:r>
          </w:p>
        </w:tc>
        <w:tc>
          <w:tcPr>
            <w:tcW w:w="3233" w:type="dxa"/>
            <w:vMerge w:val="restart"/>
            <w:tcBorders>
              <w:left w:val="single" w:color="auto" w:sz="4" w:space="0"/>
            </w:tcBorders>
            <w:vAlign w:val="center"/>
          </w:tcPr>
          <w:p>
            <w:pPr>
              <w:snapToGrid w:val="0"/>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在听懂原文的基础上，能够把握原文的关键概念和逻辑关系。</w:t>
            </w:r>
          </w:p>
          <w:p>
            <w:pPr>
              <w:snapToGrid w:val="0"/>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教学难点：听辨关键词、辨识逻辑关系</w:t>
            </w:r>
          </w:p>
        </w:tc>
        <w:tc>
          <w:tcPr>
            <w:tcW w:w="913" w:type="dxa"/>
            <w:vMerge w:val="restart"/>
            <w:vAlign w:val="center"/>
          </w:tcPr>
          <w:p>
            <w:pPr>
              <w:snapToGrid w:val="0"/>
              <w:spacing w:line="288" w:lineRule="auto"/>
              <w:jc w:val="center"/>
              <w:rPr>
                <w:rFonts w:ascii="宋体" w:hAnsi="宋体"/>
                <w:b/>
                <w:bCs/>
                <w:color w:val="000000" w:themeColor="text1"/>
                <w:sz w:val="22"/>
                <w14:textFill>
                  <w14:solidFill>
                    <w14:schemeClr w14:val="tx1"/>
                  </w14:solidFill>
                </w14:textFill>
              </w:rPr>
            </w:pPr>
            <w:r>
              <w:rPr>
                <w:rFonts w:hint="eastAsia" w:ascii="宋体" w:hAnsi="宋体"/>
                <w:b/>
                <w:bCs/>
                <w:color w:val="000000" w:themeColor="text1"/>
                <w:sz w:val="22"/>
                <w14:textFill>
                  <w14:solidFill>
                    <w14:schemeClr w14:val="tx1"/>
                  </w14:solidFill>
                </w14:textFill>
              </w:rPr>
              <w:t>2</w:t>
            </w:r>
          </w:p>
        </w:tc>
        <w:tc>
          <w:tcPr>
            <w:tcW w:w="969" w:type="dxa"/>
            <w:vMerge w:val="restart"/>
            <w:vAlign w:val="center"/>
          </w:tcPr>
          <w:p>
            <w:pPr>
              <w:snapToGrid w:val="0"/>
              <w:spacing w:line="288" w:lineRule="auto"/>
              <w:jc w:val="center"/>
              <w:rPr>
                <w:rFonts w:ascii="宋体" w:hAnsi="宋体"/>
                <w:b/>
                <w:bCs/>
                <w:color w:val="000000" w:themeColor="text1"/>
                <w:sz w:val="22"/>
                <w14:textFill>
                  <w14:solidFill>
                    <w14:schemeClr w14:val="tx1"/>
                  </w14:solidFill>
                </w14:textFill>
              </w:rPr>
            </w:pPr>
            <w:r>
              <w:rPr>
                <w:rFonts w:hint="eastAsia" w:ascii="宋体" w:hAnsi="宋体"/>
                <w:b/>
                <w:bCs/>
                <w:color w:val="000000" w:themeColor="text1"/>
                <w:sz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620" w:type="dxa"/>
            <w:vMerge w:val="continue"/>
            <w:vAlign w:val="center"/>
          </w:tcPr>
          <w:p>
            <w:pPr>
              <w:snapToGrid w:val="0"/>
              <w:spacing w:line="288" w:lineRule="auto"/>
              <w:jc w:val="center"/>
              <w:rPr>
                <w:rFonts w:ascii="宋体" w:hAnsi="宋体"/>
                <w:b/>
                <w:bCs/>
                <w:color w:val="000000" w:themeColor="text1"/>
                <w:szCs w:val="21"/>
                <w14:textFill>
                  <w14:solidFill>
                    <w14:schemeClr w14:val="tx1"/>
                  </w14:solidFill>
                </w14:textFill>
              </w:rPr>
            </w:pPr>
          </w:p>
        </w:tc>
        <w:tc>
          <w:tcPr>
            <w:tcW w:w="3349" w:type="dxa"/>
            <w:tcBorders>
              <w:top w:val="single" w:color="auto" w:sz="4" w:space="0"/>
            </w:tcBorders>
            <w:vAlign w:val="center"/>
          </w:tcPr>
          <w:p>
            <w:pPr>
              <w:snapToGrid w:val="0"/>
              <w:spacing w:line="288" w:lineRule="auto"/>
              <w:rPr>
                <w:rFonts w:ascii="宋体" w:hAnsi="宋体"/>
                <w:szCs w:val="21"/>
              </w:rPr>
            </w:pPr>
            <w:r>
              <w:rPr>
                <w:rFonts w:hint="eastAsia" w:ascii="宋体" w:hAnsi="宋体"/>
                <w:szCs w:val="21"/>
              </w:rPr>
              <w:t>理解、运用如何进行逻辑的纵向分析</w:t>
            </w:r>
          </w:p>
          <w:p>
            <w:pPr>
              <w:snapToGrid w:val="0"/>
              <w:spacing w:line="288" w:lineRule="auto"/>
              <w:rPr>
                <w:rFonts w:ascii="宋体" w:hAnsi="宋体"/>
                <w:szCs w:val="21"/>
              </w:rPr>
            </w:pPr>
            <w:r>
              <w:rPr>
                <w:rFonts w:hint="eastAsia" w:ascii="宋体" w:hAnsi="宋体"/>
                <w:szCs w:val="21"/>
              </w:rPr>
              <w:t>理解、运用如何进行逻辑的横向分析</w:t>
            </w:r>
          </w:p>
          <w:p>
            <w:pPr>
              <w:snapToGrid w:val="0"/>
              <w:spacing w:line="288" w:lineRule="auto"/>
              <w:rPr>
                <w:rFonts w:ascii="宋体" w:hAnsi="宋体"/>
                <w:szCs w:val="21"/>
                <w:lang w:eastAsia="zh-Hans"/>
              </w:rPr>
            </w:pPr>
            <w:r>
              <w:rPr>
                <w:rFonts w:hint="eastAsia" w:ascii="宋体" w:hAnsi="宋体"/>
                <w:szCs w:val="21"/>
                <w:lang w:eastAsia="zh-Hans"/>
              </w:rPr>
              <w:t>思政要点：本次课程的篇章口译练习为“长城导游词”，进行此部分练习，可以加强学生对于长城的理解，加强民族自豪感。</w:t>
            </w:r>
          </w:p>
        </w:tc>
        <w:tc>
          <w:tcPr>
            <w:tcW w:w="3233" w:type="dxa"/>
            <w:vMerge w:val="continue"/>
            <w:vAlign w:val="center"/>
          </w:tcPr>
          <w:p>
            <w:pPr>
              <w:snapToGrid w:val="0"/>
              <w:spacing w:line="288" w:lineRule="auto"/>
              <w:rPr>
                <w:rFonts w:ascii="宋体" w:hAnsi="宋体"/>
                <w:color w:val="000000" w:themeColor="text1"/>
                <w:szCs w:val="21"/>
                <w14:textFill>
                  <w14:solidFill>
                    <w14:schemeClr w14:val="tx1"/>
                  </w14:solidFill>
                </w14:textFill>
              </w:rPr>
            </w:pPr>
          </w:p>
        </w:tc>
        <w:tc>
          <w:tcPr>
            <w:tcW w:w="913" w:type="dxa"/>
            <w:vMerge w:val="continue"/>
            <w:vAlign w:val="center"/>
          </w:tcPr>
          <w:p>
            <w:pPr>
              <w:snapToGrid w:val="0"/>
              <w:spacing w:line="288" w:lineRule="auto"/>
              <w:jc w:val="center"/>
              <w:rPr>
                <w:rFonts w:ascii="宋体" w:hAnsi="宋体"/>
                <w:b/>
                <w:bCs/>
                <w:color w:val="000000" w:themeColor="text1"/>
                <w:sz w:val="22"/>
                <w14:textFill>
                  <w14:solidFill>
                    <w14:schemeClr w14:val="tx1"/>
                  </w14:solidFill>
                </w14:textFill>
              </w:rPr>
            </w:pPr>
          </w:p>
        </w:tc>
        <w:tc>
          <w:tcPr>
            <w:tcW w:w="969" w:type="dxa"/>
            <w:vMerge w:val="continue"/>
            <w:vAlign w:val="center"/>
          </w:tcPr>
          <w:p>
            <w:pPr>
              <w:snapToGrid w:val="0"/>
              <w:spacing w:line="288" w:lineRule="auto"/>
              <w:jc w:val="center"/>
              <w:rPr>
                <w:rFonts w:ascii="宋体" w:hAnsi="宋体"/>
                <w:b/>
                <w:bCs/>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20" w:type="dxa"/>
            <w:vAlign w:val="center"/>
          </w:tcPr>
          <w:p>
            <w:pPr>
              <w:snapToGrid w:val="0"/>
              <w:spacing w:line="288"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第二单元</w:t>
            </w:r>
          </w:p>
        </w:tc>
        <w:tc>
          <w:tcPr>
            <w:tcW w:w="3349" w:type="dxa"/>
            <w:vAlign w:val="center"/>
          </w:tcPr>
          <w:p>
            <w:pPr>
              <w:snapToGrid w:val="0"/>
              <w:spacing w:line="288" w:lineRule="auto"/>
              <w:rPr>
                <w:rFonts w:ascii="宋体" w:hAnsi="宋体"/>
                <w:szCs w:val="21"/>
              </w:rPr>
            </w:pPr>
            <w:r>
              <w:rPr>
                <w:rFonts w:hint="eastAsia" w:ascii="宋体" w:hAnsi="宋体"/>
                <w:szCs w:val="21"/>
              </w:rPr>
              <w:t>理解、运用如何对信息进行分层与取舍</w:t>
            </w:r>
          </w:p>
          <w:p>
            <w:pPr>
              <w:snapToGrid w:val="0"/>
              <w:spacing w:line="288" w:lineRule="auto"/>
              <w:rPr>
                <w:rFonts w:ascii="宋体" w:hAnsi="宋体"/>
                <w:szCs w:val="21"/>
              </w:rPr>
            </w:pPr>
            <w:r>
              <w:rPr>
                <w:rFonts w:hint="eastAsia" w:ascii="宋体" w:hAnsi="宋体"/>
                <w:szCs w:val="21"/>
              </w:rPr>
              <w:t>理解、运用如何提炼主旨</w:t>
            </w:r>
          </w:p>
          <w:p>
            <w:pPr>
              <w:snapToGrid w:val="0"/>
              <w:spacing w:line="288" w:lineRule="auto"/>
              <w:rPr>
                <w:rFonts w:ascii="宋体" w:hAnsi="宋体"/>
                <w:szCs w:val="21"/>
                <w:lang w:eastAsia="zh-Hans"/>
              </w:rPr>
            </w:pPr>
            <w:r>
              <w:rPr>
                <w:rFonts w:hint="eastAsia" w:ascii="宋体" w:hAnsi="宋体"/>
                <w:szCs w:val="21"/>
                <w:lang w:eastAsia="zh-Hans"/>
              </w:rPr>
              <w:t>思政要点：外宣翻译材料特别注意信息的分层和主旨的表达，在给学生讲解此部分内容时，向学生特别强调此项内容。另外本部分的篇章练习主题都为可持续发展和能源问题，特别是在进行“中国能源结构的调整”这篇文章的练习时，要重点向学生介绍我国在节能减排方面所做的努力。</w:t>
            </w:r>
          </w:p>
        </w:tc>
        <w:tc>
          <w:tcPr>
            <w:tcW w:w="3233" w:type="dxa"/>
            <w:vAlign w:val="center"/>
          </w:tcPr>
          <w:p>
            <w:pPr>
              <w:snapToGrid w:val="0"/>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能够对讲话重点进行识别和传达。</w:t>
            </w:r>
          </w:p>
          <w:p>
            <w:pPr>
              <w:snapToGrid w:val="0"/>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教学难点：概括大意、主旨提炼</w:t>
            </w:r>
          </w:p>
        </w:tc>
        <w:tc>
          <w:tcPr>
            <w:tcW w:w="913" w:type="dxa"/>
            <w:vAlign w:val="center"/>
          </w:tcPr>
          <w:p>
            <w:pPr>
              <w:snapToGrid w:val="0"/>
              <w:spacing w:line="288" w:lineRule="auto"/>
              <w:jc w:val="center"/>
              <w:rPr>
                <w:rFonts w:ascii="宋体" w:hAnsi="宋体"/>
                <w:b/>
                <w:bCs/>
                <w:color w:val="000000" w:themeColor="text1"/>
                <w:sz w:val="22"/>
                <w14:textFill>
                  <w14:solidFill>
                    <w14:schemeClr w14:val="tx1"/>
                  </w14:solidFill>
                </w14:textFill>
              </w:rPr>
            </w:pPr>
            <w:r>
              <w:rPr>
                <w:rFonts w:hint="eastAsia" w:ascii="宋体" w:hAnsi="宋体"/>
                <w:b/>
                <w:bCs/>
                <w:color w:val="000000" w:themeColor="text1"/>
                <w:sz w:val="22"/>
                <w14:textFill>
                  <w14:solidFill>
                    <w14:schemeClr w14:val="tx1"/>
                  </w14:solidFill>
                </w14:textFill>
              </w:rPr>
              <w:t>2</w:t>
            </w:r>
          </w:p>
        </w:tc>
        <w:tc>
          <w:tcPr>
            <w:tcW w:w="969" w:type="dxa"/>
            <w:vAlign w:val="center"/>
          </w:tcPr>
          <w:p>
            <w:pPr>
              <w:snapToGrid w:val="0"/>
              <w:spacing w:line="288" w:lineRule="auto"/>
              <w:jc w:val="center"/>
              <w:rPr>
                <w:rFonts w:ascii="宋体" w:hAnsi="宋体"/>
                <w:b/>
                <w:bCs/>
                <w:color w:val="000000" w:themeColor="text1"/>
                <w:sz w:val="22"/>
                <w14:textFill>
                  <w14:solidFill>
                    <w14:schemeClr w14:val="tx1"/>
                  </w14:solidFill>
                </w14:textFill>
              </w:rPr>
            </w:pPr>
            <w:r>
              <w:rPr>
                <w:rFonts w:hint="eastAsia" w:ascii="宋体" w:hAnsi="宋体"/>
                <w:b/>
                <w:bCs/>
                <w:color w:val="000000" w:themeColor="text1"/>
                <w:sz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20" w:type="dxa"/>
            <w:vMerge w:val="restart"/>
            <w:vAlign w:val="center"/>
          </w:tcPr>
          <w:p>
            <w:pPr>
              <w:snapToGrid w:val="0"/>
              <w:spacing w:line="288"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第三单元</w:t>
            </w:r>
          </w:p>
        </w:tc>
        <w:tc>
          <w:tcPr>
            <w:tcW w:w="3349" w:type="dxa"/>
            <w:vAlign w:val="center"/>
          </w:tcPr>
          <w:p>
            <w:pPr>
              <w:snapToGrid w:val="0"/>
              <w:spacing w:line="288" w:lineRule="auto"/>
              <w:rPr>
                <w:rFonts w:ascii="宋体" w:hAnsi="宋体"/>
                <w:szCs w:val="21"/>
              </w:rPr>
            </w:pPr>
            <w:r>
              <w:rPr>
                <w:rFonts w:hint="eastAsia" w:ascii="宋体" w:hAnsi="宋体"/>
                <w:szCs w:val="21"/>
              </w:rPr>
              <w:t>理解、运用如何进行逻辑记忆</w:t>
            </w:r>
          </w:p>
          <w:p>
            <w:pPr>
              <w:snapToGrid w:val="0"/>
              <w:spacing w:line="288" w:lineRule="auto"/>
              <w:rPr>
                <w:rFonts w:ascii="宋体" w:hAnsi="宋体"/>
                <w:szCs w:val="21"/>
                <w:lang w:eastAsia="zh-Hans"/>
              </w:rPr>
            </w:pPr>
            <w:r>
              <w:rPr>
                <w:rFonts w:hint="eastAsia" w:ascii="宋体" w:hAnsi="宋体"/>
                <w:szCs w:val="21"/>
                <w:lang w:eastAsia="zh-Hans"/>
              </w:rPr>
              <w:t>思政要点：逻辑关系在政治外宣材料中也比较注重，特别是口译时一定注意不能脱离主题及其中间的逻辑关系，上课时会提醒学生注意此点。在讲到篇章练习“向索马里海盗学管理”时，向学生适当普及我国海军在索马里护航的光荣事迹，加强学生的理解。</w:t>
            </w:r>
          </w:p>
        </w:tc>
        <w:tc>
          <w:tcPr>
            <w:tcW w:w="3233" w:type="dxa"/>
            <w:vMerge w:val="restart"/>
            <w:vAlign w:val="center"/>
          </w:tcPr>
          <w:p>
            <w:pPr>
              <w:snapToGrid w:val="0"/>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能够运用逻辑记忆和形象记忆提高口译记忆</w:t>
            </w:r>
          </w:p>
          <w:p>
            <w:pPr>
              <w:snapToGrid w:val="0"/>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教学难点：逻辑记忆、形象记忆</w:t>
            </w:r>
          </w:p>
        </w:tc>
        <w:tc>
          <w:tcPr>
            <w:tcW w:w="913" w:type="dxa"/>
            <w:vMerge w:val="restart"/>
            <w:vAlign w:val="center"/>
          </w:tcPr>
          <w:p>
            <w:pPr>
              <w:snapToGrid w:val="0"/>
              <w:spacing w:line="288" w:lineRule="auto"/>
              <w:jc w:val="center"/>
              <w:rPr>
                <w:rFonts w:ascii="宋体" w:hAnsi="宋体"/>
                <w:b/>
                <w:bCs/>
                <w:color w:val="000000" w:themeColor="text1"/>
                <w:sz w:val="22"/>
                <w14:textFill>
                  <w14:solidFill>
                    <w14:schemeClr w14:val="tx1"/>
                  </w14:solidFill>
                </w14:textFill>
              </w:rPr>
            </w:pPr>
            <w:r>
              <w:rPr>
                <w:rFonts w:hint="eastAsia" w:ascii="宋体" w:hAnsi="宋体"/>
                <w:b/>
                <w:bCs/>
                <w:color w:val="000000" w:themeColor="text1"/>
                <w:sz w:val="22"/>
                <w14:textFill>
                  <w14:solidFill>
                    <w14:schemeClr w14:val="tx1"/>
                  </w14:solidFill>
                </w14:textFill>
              </w:rPr>
              <w:t>3</w:t>
            </w:r>
          </w:p>
        </w:tc>
        <w:tc>
          <w:tcPr>
            <w:tcW w:w="969" w:type="dxa"/>
            <w:vMerge w:val="restart"/>
            <w:vAlign w:val="center"/>
          </w:tcPr>
          <w:p>
            <w:pPr>
              <w:snapToGrid w:val="0"/>
              <w:spacing w:line="288" w:lineRule="auto"/>
              <w:jc w:val="center"/>
              <w:rPr>
                <w:rFonts w:ascii="宋体" w:hAnsi="宋体"/>
                <w:b/>
                <w:bCs/>
                <w:color w:val="000000" w:themeColor="text1"/>
                <w:sz w:val="22"/>
                <w14:textFill>
                  <w14:solidFill>
                    <w14:schemeClr w14:val="tx1"/>
                  </w14:solidFill>
                </w14:textFill>
              </w:rPr>
            </w:pPr>
            <w:r>
              <w:rPr>
                <w:rFonts w:hint="eastAsia" w:ascii="宋体" w:hAnsi="宋体"/>
                <w:b/>
                <w:bCs/>
                <w:color w:val="000000" w:themeColor="text1"/>
                <w:sz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620" w:type="dxa"/>
            <w:vMerge w:val="continue"/>
            <w:vAlign w:val="center"/>
          </w:tcPr>
          <w:p>
            <w:pPr>
              <w:snapToGrid w:val="0"/>
              <w:spacing w:line="288" w:lineRule="auto"/>
              <w:jc w:val="center"/>
              <w:rPr>
                <w:rFonts w:ascii="宋体" w:hAnsi="宋体"/>
                <w:b/>
                <w:bCs/>
                <w:color w:val="000000" w:themeColor="text1"/>
                <w:szCs w:val="21"/>
                <w14:textFill>
                  <w14:solidFill>
                    <w14:schemeClr w14:val="tx1"/>
                  </w14:solidFill>
                </w14:textFill>
              </w:rPr>
            </w:pPr>
          </w:p>
        </w:tc>
        <w:tc>
          <w:tcPr>
            <w:tcW w:w="3349" w:type="dxa"/>
            <w:vAlign w:val="center"/>
          </w:tcPr>
          <w:p>
            <w:pPr>
              <w:snapToGrid w:val="0"/>
              <w:spacing w:line="288" w:lineRule="auto"/>
              <w:rPr>
                <w:rFonts w:ascii="宋体" w:hAnsi="宋体"/>
                <w:szCs w:val="21"/>
              </w:rPr>
            </w:pPr>
            <w:r>
              <w:rPr>
                <w:rFonts w:hint="eastAsia" w:ascii="宋体" w:hAnsi="宋体"/>
                <w:szCs w:val="21"/>
              </w:rPr>
              <w:t>理解、运用如何进行形象记忆</w:t>
            </w:r>
          </w:p>
          <w:p>
            <w:pPr>
              <w:snapToGrid w:val="0"/>
              <w:spacing w:line="288" w:lineRule="auto"/>
              <w:rPr>
                <w:rFonts w:ascii="宋体" w:hAnsi="宋体"/>
                <w:szCs w:val="21"/>
                <w:lang w:eastAsia="zh-Hans"/>
              </w:rPr>
            </w:pPr>
            <w:r>
              <w:rPr>
                <w:rFonts w:hint="eastAsia" w:ascii="宋体" w:hAnsi="宋体"/>
                <w:szCs w:val="21"/>
                <w:lang w:eastAsia="zh-Hans"/>
              </w:rPr>
              <w:t>思政要点：此部分的篇章练习中Three traits of a successful manager中总结了需要成为一个成功的企业家需要具备的几种综合素质，在做此篇章练习时多向学生让学生总结其中的要点，了解正确的企业家精神。</w:t>
            </w:r>
          </w:p>
        </w:tc>
        <w:tc>
          <w:tcPr>
            <w:tcW w:w="3233" w:type="dxa"/>
            <w:vMerge w:val="continue"/>
            <w:vAlign w:val="center"/>
          </w:tcPr>
          <w:p>
            <w:pPr>
              <w:snapToGrid w:val="0"/>
              <w:spacing w:line="288" w:lineRule="auto"/>
              <w:rPr>
                <w:rFonts w:ascii="宋体" w:hAnsi="宋体"/>
                <w:color w:val="000000" w:themeColor="text1"/>
                <w:szCs w:val="21"/>
                <w14:textFill>
                  <w14:solidFill>
                    <w14:schemeClr w14:val="tx1"/>
                  </w14:solidFill>
                </w14:textFill>
              </w:rPr>
            </w:pPr>
          </w:p>
        </w:tc>
        <w:tc>
          <w:tcPr>
            <w:tcW w:w="913" w:type="dxa"/>
            <w:vMerge w:val="continue"/>
            <w:vAlign w:val="center"/>
          </w:tcPr>
          <w:p>
            <w:pPr>
              <w:snapToGrid w:val="0"/>
              <w:spacing w:line="288" w:lineRule="auto"/>
              <w:jc w:val="center"/>
              <w:rPr>
                <w:rFonts w:ascii="宋体" w:hAnsi="宋体"/>
                <w:b/>
                <w:bCs/>
                <w:color w:val="000000" w:themeColor="text1"/>
                <w:sz w:val="22"/>
                <w14:textFill>
                  <w14:solidFill>
                    <w14:schemeClr w14:val="tx1"/>
                  </w14:solidFill>
                </w14:textFill>
              </w:rPr>
            </w:pPr>
          </w:p>
        </w:tc>
        <w:tc>
          <w:tcPr>
            <w:tcW w:w="969" w:type="dxa"/>
            <w:vMerge w:val="continue"/>
            <w:vAlign w:val="center"/>
          </w:tcPr>
          <w:p>
            <w:pPr>
              <w:snapToGrid w:val="0"/>
              <w:spacing w:line="288" w:lineRule="auto"/>
              <w:jc w:val="center"/>
              <w:rPr>
                <w:rFonts w:ascii="宋体" w:hAnsi="宋体"/>
                <w:b/>
                <w:bCs/>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20" w:type="dxa"/>
            <w:vMerge w:val="restart"/>
            <w:vAlign w:val="center"/>
          </w:tcPr>
          <w:p>
            <w:pPr>
              <w:snapToGrid w:val="0"/>
              <w:spacing w:line="288"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第四单元</w:t>
            </w:r>
          </w:p>
        </w:tc>
        <w:tc>
          <w:tcPr>
            <w:tcW w:w="3349" w:type="dxa"/>
            <w:vAlign w:val="center"/>
          </w:tcPr>
          <w:p>
            <w:pPr>
              <w:snapToGrid w:val="0"/>
              <w:spacing w:line="288" w:lineRule="auto"/>
              <w:rPr>
                <w:rFonts w:ascii="宋体" w:hAnsi="宋体"/>
                <w:szCs w:val="21"/>
              </w:rPr>
            </w:pPr>
            <w:r>
              <w:rPr>
                <w:rFonts w:hint="eastAsia" w:ascii="宋体" w:hAnsi="宋体"/>
                <w:szCs w:val="21"/>
              </w:rPr>
              <w:t>理解、运用中文的声音运用</w:t>
            </w:r>
          </w:p>
          <w:p>
            <w:pPr>
              <w:snapToGrid w:val="0"/>
              <w:spacing w:line="288" w:lineRule="auto"/>
              <w:rPr>
                <w:rFonts w:ascii="宋体" w:hAnsi="宋体"/>
                <w:szCs w:val="21"/>
              </w:rPr>
            </w:pPr>
            <w:r>
              <w:rPr>
                <w:rFonts w:hint="eastAsia" w:ascii="宋体" w:hAnsi="宋体"/>
                <w:szCs w:val="21"/>
              </w:rPr>
              <w:t>理解、运用英文的声音运用</w:t>
            </w:r>
          </w:p>
          <w:p>
            <w:pPr>
              <w:snapToGrid w:val="0"/>
              <w:spacing w:line="288" w:lineRule="auto"/>
              <w:rPr>
                <w:rFonts w:ascii="宋体" w:hAnsi="宋体"/>
                <w:szCs w:val="21"/>
                <w:lang w:eastAsia="zh-Hans"/>
              </w:rPr>
            </w:pPr>
            <w:r>
              <w:rPr>
                <w:rFonts w:hint="eastAsia" w:ascii="宋体" w:hAnsi="宋体"/>
                <w:szCs w:val="21"/>
                <w:lang w:eastAsia="zh-Hans"/>
              </w:rPr>
              <w:t>思政要点：在口译时中英文声音的使用好坏，是翻译效果最直接的呈现。声音的使用特别要注意麦克风礼仪。麦克风礼仪也是涉外礼仪的一种，影响着涉外形象。授课时会提醒学生相关意识的培养。</w:t>
            </w:r>
          </w:p>
        </w:tc>
        <w:tc>
          <w:tcPr>
            <w:tcW w:w="3233" w:type="dxa"/>
            <w:vMerge w:val="restart"/>
            <w:vAlign w:val="center"/>
          </w:tcPr>
          <w:p>
            <w:pPr>
              <w:snapToGrid w:val="0"/>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能够通过良好的陈述手段如声音、姿态、动作、眼神等增加口译的交际效果。</w:t>
            </w:r>
          </w:p>
          <w:p>
            <w:pPr>
              <w:snapToGrid w:val="0"/>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教学难点：声音运用、视觉呈现</w:t>
            </w:r>
          </w:p>
        </w:tc>
        <w:tc>
          <w:tcPr>
            <w:tcW w:w="913" w:type="dxa"/>
            <w:vMerge w:val="restart"/>
            <w:vAlign w:val="center"/>
          </w:tcPr>
          <w:p>
            <w:pPr>
              <w:snapToGrid w:val="0"/>
              <w:spacing w:line="288" w:lineRule="auto"/>
              <w:jc w:val="center"/>
              <w:rPr>
                <w:rFonts w:ascii="宋体" w:hAnsi="宋体"/>
                <w:b/>
                <w:bCs/>
                <w:color w:val="000000" w:themeColor="text1"/>
                <w:sz w:val="22"/>
                <w14:textFill>
                  <w14:solidFill>
                    <w14:schemeClr w14:val="tx1"/>
                  </w14:solidFill>
                </w14:textFill>
              </w:rPr>
            </w:pPr>
            <w:r>
              <w:rPr>
                <w:rFonts w:hint="eastAsia" w:ascii="宋体" w:hAnsi="宋体"/>
                <w:b/>
                <w:bCs/>
                <w:color w:val="000000" w:themeColor="text1"/>
                <w:sz w:val="22"/>
                <w14:textFill>
                  <w14:solidFill>
                    <w14:schemeClr w14:val="tx1"/>
                  </w14:solidFill>
                </w14:textFill>
              </w:rPr>
              <w:t>3</w:t>
            </w:r>
          </w:p>
        </w:tc>
        <w:tc>
          <w:tcPr>
            <w:tcW w:w="969" w:type="dxa"/>
            <w:vMerge w:val="restart"/>
            <w:vAlign w:val="center"/>
          </w:tcPr>
          <w:p>
            <w:pPr>
              <w:snapToGrid w:val="0"/>
              <w:spacing w:line="288" w:lineRule="auto"/>
              <w:jc w:val="center"/>
              <w:rPr>
                <w:rFonts w:ascii="宋体" w:hAnsi="宋体"/>
                <w:b/>
                <w:bCs/>
                <w:color w:val="000000" w:themeColor="text1"/>
                <w:sz w:val="22"/>
                <w14:textFill>
                  <w14:solidFill>
                    <w14:schemeClr w14:val="tx1"/>
                  </w14:solidFill>
                </w14:textFill>
              </w:rPr>
            </w:pPr>
            <w:r>
              <w:rPr>
                <w:rFonts w:hint="eastAsia" w:ascii="宋体" w:hAnsi="宋体"/>
                <w:b/>
                <w:bCs/>
                <w:color w:val="000000" w:themeColor="text1"/>
                <w:sz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620" w:type="dxa"/>
            <w:vMerge w:val="continue"/>
            <w:vAlign w:val="center"/>
          </w:tcPr>
          <w:p>
            <w:pPr>
              <w:snapToGrid w:val="0"/>
              <w:spacing w:line="288" w:lineRule="auto"/>
              <w:jc w:val="center"/>
              <w:rPr>
                <w:rFonts w:ascii="宋体" w:hAnsi="宋体"/>
                <w:b/>
                <w:bCs/>
                <w:color w:val="000000" w:themeColor="text1"/>
                <w:szCs w:val="21"/>
                <w14:textFill>
                  <w14:solidFill>
                    <w14:schemeClr w14:val="tx1"/>
                  </w14:solidFill>
                </w14:textFill>
              </w:rPr>
            </w:pPr>
          </w:p>
        </w:tc>
        <w:tc>
          <w:tcPr>
            <w:tcW w:w="3349" w:type="dxa"/>
            <w:vAlign w:val="center"/>
          </w:tcPr>
          <w:p>
            <w:pPr>
              <w:snapToGrid w:val="0"/>
              <w:spacing w:line="288" w:lineRule="auto"/>
              <w:rPr>
                <w:rFonts w:ascii="宋体" w:hAnsi="宋体"/>
                <w:szCs w:val="21"/>
              </w:rPr>
            </w:pPr>
            <w:r>
              <w:rPr>
                <w:rFonts w:hint="eastAsia" w:ascii="宋体" w:hAnsi="宋体"/>
                <w:szCs w:val="21"/>
              </w:rPr>
              <w:t>理解、运用站姿的视觉呈现</w:t>
            </w:r>
          </w:p>
          <w:p>
            <w:pPr>
              <w:snapToGrid w:val="0"/>
              <w:spacing w:line="288" w:lineRule="auto"/>
              <w:rPr>
                <w:rFonts w:ascii="宋体" w:hAnsi="宋体"/>
                <w:szCs w:val="21"/>
              </w:rPr>
            </w:pPr>
            <w:r>
              <w:rPr>
                <w:rFonts w:hint="eastAsia" w:ascii="宋体" w:hAnsi="宋体"/>
                <w:szCs w:val="21"/>
              </w:rPr>
              <w:t>理解、运用坐姿的视觉呈现</w:t>
            </w:r>
          </w:p>
          <w:p>
            <w:pPr>
              <w:snapToGrid w:val="0"/>
              <w:spacing w:line="288" w:lineRule="auto"/>
              <w:rPr>
                <w:rFonts w:ascii="宋体" w:hAnsi="宋体"/>
                <w:szCs w:val="21"/>
                <w:lang w:eastAsia="zh-Hans"/>
              </w:rPr>
            </w:pPr>
            <w:r>
              <w:rPr>
                <w:rFonts w:hint="eastAsia" w:ascii="宋体" w:hAnsi="宋体"/>
                <w:szCs w:val="21"/>
                <w:lang w:eastAsia="zh-Hans"/>
              </w:rPr>
              <w:t>思政要点：所谓“坐有坐相站有站相”，口译因为直接是面对外宾，而口译人员的站姿和坐姿又在一定程度上代表着一定的国人形象。在此部分内容的教学时，提醒学生时时刻刻要注意自己的站坐姿不单单代表自己，还代表着中国，提醒学生务必要怀着敬畏之心，注意自己的言行。</w:t>
            </w:r>
          </w:p>
        </w:tc>
        <w:tc>
          <w:tcPr>
            <w:tcW w:w="3233" w:type="dxa"/>
            <w:vMerge w:val="continue"/>
            <w:vAlign w:val="center"/>
          </w:tcPr>
          <w:p>
            <w:pPr>
              <w:snapToGrid w:val="0"/>
              <w:spacing w:line="288" w:lineRule="auto"/>
              <w:rPr>
                <w:rFonts w:ascii="宋体" w:hAnsi="宋体"/>
                <w:color w:val="000000" w:themeColor="text1"/>
                <w:szCs w:val="21"/>
                <w14:textFill>
                  <w14:solidFill>
                    <w14:schemeClr w14:val="tx1"/>
                  </w14:solidFill>
                </w14:textFill>
              </w:rPr>
            </w:pPr>
          </w:p>
        </w:tc>
        <w:tc>
          <w:tcPr>
            <w:tcW w:w="913" w:type="dxa"/>
            <w:vMerge w:val="continue"/>
            <w:vAlign w:val="center"/>
          </w:tcPr>
          <w:p>
            <w:pPr>
              <w:snapToGrid w:val="0"/>
              <w:spacing w:line="288" w:lineRule="auto"/>
              <w:jc w:val="center"/>
              <w:rPr>
                <w:rFonts w:ascii="宋体" w:hAnsi="宋体"/>
                <w:b/>
                <w:bCs/>
                <w:color w:val="000000" w:themeColor="text1"/>
                <w:sz w:val="22"/>
                <w14:textFill>
                  <w14:solidFill>
                    <w14:schemeClr w14:val="tx1"/>
                  </w14:solidFill>
                </w14:textFill>
              </w:rPr>
            </w:pPr>
          </w:p>
        </w:tc>
        <w:tc>
          <w:tcPr>
            <w:tcW w:w="969" w:type="dxa"/>
            <w:vMerge w:val="continue"/>
            <w:vAlign w:val="center"/>
          </w:tcPr>
          <w:p>
            <w:pPr>
              <w:snapToGrid w:val="0"/>
              <w:spacing w:line="288" w:lineRule="auto"/>
              <w:jc w:val="center"/>
              <w:rPr>
                <w:rFonts w:ascii="宋体" w:hAnsi="宋体"/>
                <w:b/>
                <w:bCs/>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620" w:type="dxa"/>
            <w:vMerge w:val="restart"/>
            <w:vAlign w:val="center"/>
          </w:tcPr>
          <w:p>
            <w:pPr>
              <w:snapToGrid w:val="0"/>
              <w:spacing w:line="288"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第五单元</w:t>
            </w:r>
          </w:p>
        </w:tc>
        <w:tc>
          <w:tcPr>
            <w:tcW w:w="3349" w:type="dxa"/>
            <w:vAlign w:val="center"/>
          </w:tcPr>
          <w:p>
            <w:pPr>
              <w:snapToGrid w:val="0"/>
              <w:spacing w:line="288" w:lineRule="auto"/>
              <w:rPr>
                <w:rFonts w:ascii="宋体" w:hAnsi="宋体"/>
                <w:szCs w:val="21"/>
              </w:rPr>
            </w:pPr>
            <w:r>
              <w:rPr>
                <w:rFonts w:hint="eastAsia" w:ascii="宋体" w:hAnsi="宋体"/>
                <w:szCs w:val="21"/>
              </w:rPr>
              <w:t>理解、运用句子的记忆与记录技能</w:t>
            </w:r>
          </w:p>
          <w:p>
            <w:pPr>
              <w:snapToGrid w:val="0"/>
              <w:spacing w:line="288" w:lineRule="auto"/>
              <w:rPr>
                <w:rFonts w:ascii="宋体" w:hAnsi="宋体"/>
                <w:szCs w:val="21"/>
              </w:rPr>
            </w:pPr>
            <w:r>
              <w:rPr>
                <w:rFonts w:hint="eastAsia" w:ascii="宋体" w:hAnsi="宋体"/>
                <w:szCs w:val="21"/>
              </w:rPr>
              <w:t>理解、运用段落的记忆与记录技能</w:t>
            </w:r>
          </w:p>
          <w:p>
            <w:pPr>
              <w:snapToGrid w:val="0"/>
              <w:spacing w:line="288" w:lineRule="auto"/>
              <w:rPr>
                <w:rFonts w:ascii="宋体" w:hAnsi="宋体"/>
                <w:szCs w:val="21"/>
                <w:lang w:eastAsia="zh-Hans"/>
              </w:rPr>
            </w:pPr>
            <w:r>
              <w:rPr>
                <w:rFonts w:hint="eastAsia" w:ascii="宋体" w:hAnsi="宋体"/>
                <w:szCs w:val="21"/>
                <w:lang w:eastAsia="zh-Hans"/>
              </w:rPr>
              <w:t>思政要点：篇章练习“个人理财”，向学生介绍了在理财时需要注意的一些常识和基本要点。在给学生做此项练习时，要给学生普及一些正确的财富观，让学生养成良好的生活习惯和消费习惯，培养他们正确的人生观，价值观。</w:t>
            </w:r>
          </w:p>
        </w:tc>
        <w:tc>
          <w:tcPr>
            <w:tcW w:w="3233" w:type="dxa"/>
            <w:vMerge w:val="restart"/>
            <w:vAlign w:val="center"/>
          </w:tcPr>
          <w:p>
            <w:pPr>
              <w:snapToGrid w:val="0"/>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能够适当运用笔记技能辅助口译活动。</w:t>
            </w:r>
          </w:p>
          <w:p>
            <w:pPr>
              <w:snapToGrid w:val="0"/>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教学难点：笔记与记忆的交互、笔记的结构安排、如何提高笔记的记录效率</w:t>
            </w:r>
          </w:p>
        </w:tc>
        <w:tc>
          <w:tcPr>
            <w:tcW w:w="913" w:type="dxa"/>
            <w:vMerge w:val="restart"/>
            <w:vAlign w:val="center"/>
          </w:tcPr>
          <w:p>
            <w:pPr>
              <w:snapToGrid w:val="0"/>
              <w:spacing w:line="288" w:lineRule="auto"/>
              <w:jc w:val="center"/>
              <w:rPr>
                <w:rFonts w:ascii="宋体" w:hAnsi="宋体"/>
                <w:b/>
                <w:bCs/>
                <w:color w:val="000000" w:themeColor="text1"/>
                <w:sz w:val="22"/>
                <w14:textFill>
                  <w14:solidFill>
                    <w14:schemeClr w14:val="tx1"/>
                  </w14:solidFill>
                </w14:textFill>
              </w:rPr>
            </w:pPr>
            <w:r>
              <w:rPr>
                <w:rFonts w:hint="eastAsia" w:ascii="宋体" w:hAnsi="宋体"/>
                <w:b/>
                <w:bCs/>
                <w:color w:val="000000" w:themeColor="text1"/>
                <w:sz w:val="22"/>
                <w14:textFill>
                  <w14:solidFill>
                    <w14:schemeClr w14:val="tx1"/>
                  </w14:solidFill>
                </w14:textFill>
              </w:rPr>
              <w:t>3</w:t>
            </w:r>
          </w:p>
        </w:tc>
        <w:tc>
          <w:tcPr>
            <w:tcW w:w="969" w:type="dxa"/>
            <w:vMerge w:val="restart"/>
            <w:vAlign w:val="center"/>
          </w:tcPr>
          <w:p>
            <w:pPr>
              <w:snapToGrid w:val="0"/>
              <w:spacing w:line="288" w:lineRule="auto"/>
              <w:jc w:val="center"/>
              <w:rPr>
                <w:rFonts w:ascii="宋体" w:hAnsi="宋体"/>
                <w:b/>
                <w:bCs/>
                <w:color w:val="000000" w:themeColor="text1"/>
                <w:sz w:val="22"/>
                <w14:textFill>
                  <w14:solidFill>
                    <w14:schemeClr w14:val="tx1"/>
                  </w14:solidFill>
                </w14:textFill>
              </w:rPr>
            </w:pPr>
            <w:r>
              <w:rPr>
                <w:rFonts w:hint="eastAsia" w:ascii="宋体" w:hAnsi="宋体"/>
                <w:b/>
                <w:bCs/>
                <w:color w:val="000000" w:themeColor="text1"/>
                <w:sz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20" w:type="dxa"/>
            <w:vMerge w:val="continue"/>
            <w:vAlign w:val="center"/>
          </w:tcPr>
          <w:p>
            <w:pPr>
              <w:snapToGrid w:val="0"/>
              <w:spacing w:line="288" w:lineRule="auto"/>
              <w:jc w:val="center"/>
              <w:rPr>
                <w:rFonts w:ascii="宋体" w:hAnsi="宋体"/>
                <w:b/>
                <w:bCs/>
                <w:color w:val="000000" w:themeColor="text1"/>
                <w:szCs w:val="21"/>
                <w14:textFill>
                  <w14:solidFill>
                    <w14:schemeClr w14:val="tx1"/>
                  </w14:solidFill>
                </w14:textFill>
              </w:rPr>
            </w:pPr>
          </w:p>
        </w:tc>
        <w:tc>
          <w:tcPr>
            <w:tcW w:w="3349" w:type="dxa"/>
            <w:vAlign w:val="center"/>
          </w:tcPr>
          <w:p>
            <w:pPr>
              <w:snapToGrid w:val="0"/>
              <w:spacing w:line="288" w:lineRule="auto"/>
              <w:rPr>
                <w:rFonts w:ascii="宋体" w:hAnsi="宋体"/>
                <w:szCs w:val="21"/>
              </w:rPr>
            </w:pPr>
            <w:r>
              <w:rPr>
                <w:rFonts w:hint="eastAsia" w:ascii="宋体" w:hAnsi="宋体"/>
                <w:szCs w:val="21"/>
              </w:rPr>
              <w:t>理解、运用笔记的纵向、缩进</w:t>
            </w:r>
          </w:p>
          <w:p>
            <w:pPr>
              <w:snapToGrid w:val="0"/>
              <w:spacing w:line="288" w:lineRule="auto"/>
              <w:rPr>
                <w:rFonts w:ascii="宋体" w:hAnsi="宋体"/>
                <w:szCs w:val="21"/>
              </w:rPr>
            </w:pPr>
            <w:r>
              <w:rPr>
                <w:rFonts w:hint="eastAsia" w:ascii="宋体" w:hAnsi="宋体"/>
                <w:szCs w:val="21"/>
              </w:rPr>
              <w:t>理解、运用逻辑关系的记录技能</w:t>
            </w:r>
          </w:p>
          <w:p>
            <w:pPr>
              <w:snapToGrid w:val="0"/>
              <w:spacing w:line="288" w:lineRule="auto"/>
              <w:rPr>
                <w:rFonts w:ascii="宋体" w:hAnsi="宋体"/>
                <w:szCs w:val="21"/>
                <w:lang w:eastAsia="zh-Hans"/>
              </w:rPr>
            </w:pPr>
            <w:r>
              <w:rPr>
                <w:rFonts w:hint="eastAsia" w:ascii="宋体" w:hAnsi="宋体"/>
                <w:szCs w:val="21"/>
                <w:lang w:eastAsia="zh-Hans"/>
              </w:rPr>
              <w:t>思政要点：篇章练习“如何选择理财产品”向学生充分说明了选择理财产品时需要注意的问题和风险性。而学生对于风险性的问题可能会因为生活经验的不足而没有太多概念。此篇练习则可以向学生科普部分此类内容，有助于学生形成一定的理财观念和风险意识。</w:t>
            </w:r>
          </w:p>
        </w:tc>
        <w:tc>
          <w:tcPr>
            <w:tcW w:w="3233" w:type="dxa"/>
            <w:vMerge w:val="continue"/>
            <w:vAlign w:val="center"/>
          </w:tcPr>
          <w:p>
            <w:pPr>
              <w:snapToGrid w:val="0"/>
              <w:spacing w:line="288" w:lineRule="auto"/>
              <w:rPr>
                <w:rFonts w:ascii="宋体" w:hAnsi="宋体"/>
                <w:color w:val="000000" w:themeColor="text1"/>
                <w:szCs w:val="21"/>
                <w14:textFill>
                  <w14:solidFill>
                    <w14:schemeClr w14:val="tx1"/>
                  </w14:solidFill>
                </w14:textFill>
              </w:rPr>
            </w:pPr>
          </w:p>
        </w:tc>
        <w:tc>
          <w:tcPr>
            <w:tcW w:w="913" w:type="dxa"/>
            <w:vMerge w:val="continue"/>
            <w:vAlign w:val="center"/>
          </w:tcPr>
          <w:p>
            <w:pPr>
              <w:snapToGrid w:val="0"/>
              <w:spacing w:line="288" w:lineRule="auto"/>
              <w:jc w:val="center"/>
              <w:rPr>
                <w:rFonts w:ascii="宋体" w:hAnsi="宋体"/>
                <w:b/>
                <w:bCs/>
                <w:color w:val="000000" w:themeColor="text1"/>
                <w:sz w:val="22"/>
                <w14:textFill>
                  <w14:solidFill>
                    <w14:schemeClr w14:val="tx1"/>
                  </w14:solidFill>
                </w14:textFill>
              </w:rPr>
            </w:pPr>
          </w:p>
        </w:tc>
        <w:tc>
          <w:tcPr>
            <w:tcW w:w="969" w:type="dxa"/>
            <w:vMerge w:val="continue"/>
            <w:vAlign w:val="center"/>
          </w:tcPr>
          <w:p>
            <w:pPr>
              <w:snapToGrid w:val="0"/>
              <w:spacing w:line="288" w:lineRule="auto"/>
              <w:jc w:val="center"/>
              <w:rPr>
                <w:rFonts w:ascii="宋体" w:hAnsi="宋体"/>
                <w:b/>
                <w:bCs/>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620" w:type="dxa"/>
            <w:vMerge w:val="restart"/>
            <w:vAlign w:val="center"/>
          </w:tcPr>
          <w:p>
            <w:pPr>
              <w:snapToGrid w:val="0"/>
              <w:spacing w:line="288" w:lineRule="auto"/>
              <w:rPr>
                <w:rFonts w:ascii="宋体" w:hAnsi="宋体"/>
                <w:b/>
                <w:bCs/>
                <w:color w:val="000000" w:themeColor="text1"/>
                <w:szCs w:val="21"/>
                <w14:textFill>
                  <w14:solidFill>
                    <w14:schemeClr w14:val="tx1"/>
                  </w14:solidFill>
                </w14:textFill>
              </w:rPr>
            </w:pPr>
          </w:p>
          <w:p>
            <w:pPr>
              <w:snapToGrid w:val="0"/>
              <w:spacing w:line="288"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第六单元</w:t>
            </w:r>
          </w:p>
        </w:tc>
        <w:tc>
          <w:tcPr>
            <w:tcW w:w="3349" w:type="dxa"/>
            <w:vAlign w:val="center"/>
          </w:tcPr>
          <w:p>
            <w:pPr>
              <w:snapToGrid w:val="0"/>
              <w:spacing w:line="288" w:lineRule="auto"/>
              <w:rPr>
                <w:rFonts w:ascii="宋体" w:hAnsi="宋体"/>
                <w:szCs w:val="21"/>
              </w:rPr>
            </w:pPr>
            <w:r>
              <w:rPr>
                <w:rFonts w:hint="eastAsia" w:ascii="宋体" w:hAnsi="宋体"/>
                <w:szCs w:val="21"/>
              </w:rPr>
              <w:t>理解、运用汉英两种语言间的数字转换</w:t>
            </w:r>
          </w:p>
          <w:p>
            <w:pPr>
              <w:snapToGrid w:val="0"/>
              <w:spacing w:line="288" w:lineRule="auto"/>
              <w:rPr>
                <w:rFonts w:ascii="宋体" w:hAnsi="宋体"/>
                <w:szCs w:val="21"/>
              </w:rPr>
            </w:pPr>
            <w:r>
              <w:rPr>
                <w:rFonts w:hint="eastAsia" w:ascii="宋体" w:hAnsi="宋体"/>
                <w:szCs w:val="21"/>
              </w:rPr>
              <w:t>理解、运用数字相关表达法</w:t>
            </w:r>
          </w:p>
          <w:p>
            <w:pPr>
              <w:snapToGrid w:val="0"/>
              <w:spacing w:line="288" w:lineRule="auto"/>
              <w:rPr>
                <w:rFonts w:ascii="宋体" w:hAnsi="宋体"/>
                <w:szCs w:val="21"/>
              </w:rPr>
            </w:pPr>
            <w:r>
              <w:rPr>
                <w:rFonts w:hint="eastAsia" w:ascii="宋体" w:hAnsi="宋体"/>
                <w:szCs w:val="21"/>
              </w:rPr>
              <w:t>理解、运用数字即时转换方法</w:t>
            </w:r>
          </w:p>
          <w:p>
            <w:pPr>
              <w:snapToGrid w:val="0"/>
              <w:spacing w:line="288" w:lineRule="auto"/>
              <w:rPr>
                <w:rFonts w:ascii="宋体" w:hAnsi="宋体"/>
                <w:szCs w:val="21"/>
                <w:lang w:eastAsia="zh-Hans"/>
              </w:rPr>
            </w:pPr>
            <w:r>
              <w:rPr>
                <w:rFonts w:hint="eastAsia" w:ascii="宋体" w:hAnsi="宋体"/>
                <w:szCs w:val="21"/>
                <w:lang w:eastAsia="zh-Hans"/>
              </w:rPr>
              <w:t>思政要点：口译篇章“</w:t>
            </w:r>
            <w:r>
              <w:rPr>
                <w:szCs w:val="21"/>
                <w:lang w:eastAsia="zh-Hans"/>
              </w:rPr>
              <w:t>2003-2013年中国的外汇储备</w:t>
            </w:r>
            <w:r>
              <w:rPr>
                <w:rFonts w:hint="eastAsia"/>
                <w:szCs w:val="21"/>
                <w:lang w:eastAsia="zh-Hans"/>
              </w:rPr>
              <w:t>”说明了我国的近年来的外汇储备情况。通过对于此类口译篇章的练习，有利于学生了解我国的经济状况。同时在练习此篇章之外，也在上课时考虑给学生增加适当的关于我国经济状况的数字文本练习。</w:t>
            </w:r>
          </w:p>
        </w:tc>
        <w:tc>
          <w:tcPr>
            <w:tcW w:w="3233" w:type="dxa"/>
            <w:vMerge w:val="restart"/>
            <w:vAlign w:val="center"/>
          </w:tcPr>
          <w:p>
            <w:pPr>
              <w:snapToGrid w:val="0"/>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能够具有对数字听辨的敏感度，熟练掌握正确的数字记录方法和转换技巧。 </w:t>
            </w:r>
          </w:p>
          <w:p>
            <w:pPr>
              <w:snapToGrid w:val="0"/>
              <w:spacing w:line="288"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教学难点： 汉语和英语两种语言之间的数字转换。数字相关表达法。 </w:t>
            </w:r>
          </w:p>
        </w:tc>
        <w:tc>
          <w:tcPr>
            <w:tcW w:w="913" w:type="dxa"/>
            <w:vMerge w:val="restart"/>
            <w:vAlign w:val="center"/>
          </w:tcPr>
          <w:p>
            <w:pPr>
              <w:snapToGrid w:val="0"/>
              <w:spacing w:line="288" w:lineRule="auto"/>
              <w:jc w:val="center"/>
              <w:rPr>
                <w:rFonts w:ascii="宋体" w:hAnsi="宋体"/>
                <w:b/>
                <w:bCs/>
                <w:color w:val="000000" w:themeColor="text1"/>
                <w:sz w:val="22"/>
                <w14:textFill>
                  <w14:solidFill>
                    <w14:schemeClr w14:val="tx1"/>
                  </w14:solidFill>
                </w14:textFill>
              </w:rPr>
            </w:pPr>
            <w:r>
              <w:rPr>
                <w:rFonts w:hint="eastAsia" w:ascii="宋体" w:hAnsi="宋体"/>
                <w:b/>
                <w:bCs/>
                <w:color w:val="000000" w:themeColor="text1"/>
                <w:sz w:val="22"/>
                <w14:textFill>
                  <w14:solidFill>
                    <w14:schemeClr w14:val="tx1"/>
                  </w14:solidFill>
                </w14:textFill>
              </w:rPr>
              <w:t>3</w:t>
            </w:r>
          </w:p>
        </w:tc>
        <w:tc>
          <w:tcPr>
            <w:tcW w:w="969" w:type="dxa"/>
            <w:vMerge w:val="restart"/>
            <w:vAlign w:val="center"/>
          </w:tcPr>
          <w:p>
            <w:pPr>
              <w:snapToGrid w:val="0"/>
              <w:spacing w:line="288" w:lineRule="auto"/>
              <w:jc w:val="center"/>
              <w:rPr>
                <w:rFonts w:ascii="宋体" w:hAnsi="宋体"/>
                <w:b/>
                <w:bCs/>
                <w:color w:val="000000" w:themeColor="text1"/>
                <w:sz w:val="22"/>
                <w14:textFill>
                  <w14:solidFill>
                    <w14:schemeClr w14:val="tx1"/>
                  </w14:solidFill>
                </w14:textFill>
              </w:rPr>
            </w:pPr>
            <w:r>
              <w:rPr>
                <w:rFonts w:hint="eastAsia" w:ascii="宋体" w:hAnsi="宋体"/>
                <w:b/>
                <w:bCs/>
                <w:color w:val="000000" w:themeColor="text1"/>
                <w:sz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620" w:type="dxa"/>
            <w:vMerge w:val="continue"/>
          </w:tcPr>
          <w:p>
            <w:pPr>
              <w:snapToGrid w:val="0"/>
              <w:spacing w:line="288" w:lineRule="auto"/>
              <w:rPr>
                <w:rFonts w:ascii="宋体" w:hAnsi="宋体"/>
                <w:b/>
                <w:bCs/>
                <w:color w:val="000000" w:themeColor="text1"/>
                <w:szCs w:val="21"/>
                <w14:textFill>
                  <w14:solidFill>
                    <w14:schemeClr w14:val="tx1"/>
                  </w14:solidFill>
                </w14:textFill>
              </w:rPr>
            </w:pPr>
          </w:p>
        </w:tc>
        <w:tc>
          <w:tcPr>
            <w:tcW w:w="3349" w:type="dxa"/>
            <w:vAlign w:val="center"/>
          </w:tcPr>
          <w:p>
            <w:pPr>
              <w:snapToGrid w:val="0"/>
              <w:spacing w:line="288" w:lineRule="auto"/>
              <w:rPr>
                <w:rFonts w:ascii="宋体" w:hAnsi="宋体"/>
                <w:szCs w:val="21"/>
              </w:rPr>
            </w:pPr>
            <w:r>
              <w:rPr>
                <w:rFonts w:hint="eastAsia" w:ascii="宋体" w:hAnsi="宋体"/>
                <w:szCs w:val="21"/>
              </w:rPr>
              <w:t>理解、运用数字总额的常用表达和口译技巧</w:t>
            </w:r>
          </w:p>
          <w:p>
            <w:pPr>
              <w:snapToGrid w:val="0"/>
              <w:spacing w:line="288" w:lineRule="auto"/>
              <w:rPr>
                <w:rFonts w:ascii="宋体" w:hAnsi="宋体"/>
                <w:szCs w:val="21"/>
              </w:rPr>
            </w:pPr>
            <w:r>
              <w:rPr>
                <w:rFonts w:hint="eastAsia" w:ascii="宋体" w:hAnsi="宋体"/>
                <w:szCs w:val="21"/>
              </w:rPr>
              <w:t>理解、运用数字增减的常用表达和口译技巧</w:t>
            </w:r>
          </w:p>
          <w:p>
            <w:pPr>
              <w:snapToGrid w:val="0"/>
              <w:spacing w:line="288" w:lineRule="auto"/>
              <w:rPr>
                <w:rFonts w:ascii="宋体" w:hAnsi="宋体"/>
                <w:szCs w:val="21"/>
              </w:rPr>
            </w:pPr>
            <w:r>
              <w:rPr>
                <w:rFonts w:hint="eastAsia" w:ascii="宋体" w:hAnsi="宋体"/>
                <w:szCs w:val="21"/>
              </w:rPr>
              <w:t>理解、运用数字对比关系的常用表达和口译技巧</w:t>
            </w:r>
          </w:p>
          <w:p>
            <w:pPr>
              <w:spacing w:line="260" w:lineRule="exact"/>
              <w:ind w:right="-50"/>
              <w:rPr>
                <w:rFonts w:ascii="宋体" w:hAnsi="宋体"/>
                <w:szCs w:val="21"/>
              </w:rPr>
            </w:pPr>
            <w:r>
              <w:rPr>
                <w:rFonts w:hint="eastAsia" w:ascii="Times New Roman Regular" w:hAnsi="Times New Roman Regular" w:cs="Times New Roman Regular"/>
                <w:szCs w:val="21"/>
                <w:lang w:eastAsia="zh-Hans"/>
              </w:rPr>
              <w:t>思政要点</w:t>
            </w:r>
            <w:r>
              <w:rPr>
                <w:rFonts w:ascii="Times New Roman Regular" w:hAnsi="Times New Roman Regular" w:cs="Times New Roman Regular"/>
                <w:szCs w:val="21"/>
                <w:lang w:eastAsia="zh-Hans"/>
              </w:rPr>
              <w:t>:China’s outbound M&amp;As</w:t>
            </w:r>
            <w:r>
              <w:rPr>
                <w:rFonts w:hint="eastAsia" w:ascii="Times New Roman Regular" w:hAnsi="Times New Roman Regular" w:cs="Times New Roman Regular"/>
                <w:szCs w:val="21"/>
                <w:lang w:eastAsia="zh-Hans"/>
              </w:rPr>
              <w:t>或</w:t>
            </w:r>
            <w:r>
              <w:rPr>
                <w:rFonts w:ascii="Times New Roman Regular" w:hAnsi="Times New Roman Regular" w:cs="Times New Roman Regular"/>
                <w:szCs w:val="21"/>
                <w:lang w:eastAsia="zh-Hans"/>
              </w:rPr>
              <w:t>Most populous countries 2013-2050</w:t>
            </w:r>
            <w:r>
              <w:rPr>
                <w:rFonts w:hint="eastAsia" w:ascii="Times New Roman Regular" w:hAnsi="Times New Roman Regular" w:cs="Times New Roman Regular"/>
                <w:szCs w:val="21"/>
                <w:lang w:eastAsia="zh-Hans"/>
              </w:rPr>
              <w:t>这两篇篇章口译有助于学生了解我国企业的对外并购，也有注意学生了解当前世界的人口趋势。在数字口译方面，通过此类练习，学生能够了解数字口译场景常常出现在一些报告演讲中。可以激起学生对于世界宏观趋势的兴趣，拓展学生的知识面，学生感到要做好口译，不单单要有语言技能，还要关注世界的最新趋势，提高自己的综合知识储备。</w:t>
            </w:r>
          </w:p>
        </w:tc>
        <w:tc>
          <w:tcPr>
            <w:tcW w:w="3233" w:type="dxa"/>
            <w:vMerge w:val="continue"/>
            <w:vAlign w:val="center"/>
          </w:tcPr>
          <w:p>
            <w:pPr>
              <w:snapToGrid w:val="0"/>
              <w:spacing w:line="288" w:lineRule="auto"/>
              <w:rPr>
                <w:rFonts w:ascii="宋体" w:hAnsi="宋体"/>
                <w:color w:val="000000" w:themeColor="text1"/>
                <w:sz w:val="16"/>
                <w:szCs w:val="16"/>
                <w14:textFill>
                  <w14:solidFill>
                    <w14:schemeClr w14:val="tx1"/>
                  </w14:solidFill>
                </w14:textFill>
              </w:rPr>
            </w:pPr>
          </w:p>
        </w:tc>
        <w:tc>
          <w:tcPr>
            <w:tcW w:w="913" w:type="dxa"/>
            <w:vMerge w:val="continue"/>
          </w:tcPr>
          <w:p>
            <w:pPr>
              <w:snapToGrid w:val="0"/>
              <w:spacing w:line="288" w:lineRule="auto"/>
              <w:rPr>
                <w:rFonts w:ascii="宋体" w:hAnsi="宋体"/>
                <w:b/>
                <w:bCs/>
                <w:color w:val="000000" w:themeColor="text1"/>
                <w:sz w:val="20"/>
                <w:szCs w:val="20"/>
                <w14:textFill>
                  <w14:solidFill>
                    <w14:schemeClr w14:val="tx1"/>
                  </w14:solidFill>
                </w14:textFill>
              </w:rPr>
            </w:pPr>
          </w:p>
        </w:tc>
        <w:tc>
          <w:tcPr>
            <w:tcW w:w="969" w:type="dxa"/>
            <w:vMerge w:val="continue"/>
          </w:tcPr>
          <w:p>
            <w:pPr>
              <w:snapToGrid w:val="0"/>
              <w:spacing w:line="288" w:lineRule="auto"/>
              <w:rPr>
                <w:rFonts w:ascii="宋体" w:hAnsi="宋体"/>
                <w:b/>
                <w:bCs/>
                <w:color w:val="000000" w:themeColor="text1"/>
                <w:sz w:val="20"/>
                <w:szCs w:val="20"/>
                <w14:textFill>
                  <w14:solidFill>
                    <w14:schemeClr w14:val="tx1"/>
                  </w14:solidFill>
                </w14:textFill>
              </w:rPr>
            </w:pPr>
          </w:p>
        </w:tc>
      </w:tr>
    </w:tbl>
    <w:p>
      <w:pPr>
        <w:snapToGrid w:val="0"/>
        <w:spacing w:line="288" w:lineRule="auto"/>
        <w:rPr>
          <w:rFonts w:ascii="宋体" w:hAnsi="宋体"/>
          <w:color w:val="000000" w:themeColor="text1"/>
          <w:sz w:val="20"/>
          <w:szCs w:val="20"/>
          <w14:textFill>
            <w14:solidFill>
              <w14:schemeClr w14:val="tx1"/>
            </w14:solidFill>
          </w14:textFill>
        </w:rPr>
      </w:pPr>
    </w:p>
    <w:p>
      <w:pPr>
        <w:snapToGrid w:val="0"/>
        <w:spacing w:line="288" w:lineRule="auto"/>
        <w:ind w:right="26"/>
        <w:rPr>
          <w:color w:val="000000" w:themeColor="text1"/>
          <w:sz w:val="20"/>
          <w:szCs w:val="20"/>
          <w14:textFill>
            <w14:solidFill>
              <w14:schemeClr w14:val="tx1"/>
            </w14:solidFill>
          </w14:textFill>
        </w:rPr>
      </w:pPr>
    </w:p>
    <w:p>
      <w:pPr>
        <w:widowControl/>
        <w:spacing w:before="156" w:beforeLines="50" w:after="156" w:afterLines="50" w:line="288" w:lineRule="auto"/>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七、课内实验名称及基本要求</w:t>
      </w:r>
    </w:p>
    <w:tbl>
      <w:tblPr>
        <w:tblStyle w:val="5"/>
        <w:tblW w:w="91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999"/>
        <w:gridCol w:w="3131"/>
        <w:gridCol w:w="825"/>
        <w:gridCol w:w="115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实验名称</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主要内容</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实验</w:t>
            </w:r>
          </w:p>
          <w:p>
            <w:pPr>
              <w:snapToGrid w:val="0"/>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时数</w:t>
            </w:r>
          </w:p>
        </w:tc>
        <w:tc>
          <w:tcPr>
            <w:tcW w:w="115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实验类型</w:t>
            </w:r>
          </w:p>
        </w:tc>
        <w:tc>
          <w:tcPr>
            <w:tcW w:w="12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1</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英译中口译</w:t>
            </w:r>
            <w:r>
              <w:rPr>
                <w:rFonts w:hint="eastAsia" w:ascii="宋体"/>
                <w:color w:val="000000" w:themeColor="text1"/>
                <w:szCs w:val="21"/>
                <w:lang w:eastAsia="zh-Hans"/>
                <w14:textFill>
                  <w14:solidFill>
                    <w14:schemeClr w14:val="tx1"/>
                  </w14:solidFill>
                </w14:textFill>
              </w:rPr>
              <w:t>操练</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color w:val="000000" w:themeColor="text1"/>
                <w:szCs w:val="21"/>
                <w14:textFill>
                  <w14:solidFill>
                    <w14:schemeClr w14:val="tx1"/>
                  </w14:solidFill>
                </w14:textFill>
              </w:rPr>
            </w:pPr>
            <w:r>
              <w:rPr>
                <w:rFonts w:hint="eastAsia" w:ascii="宋体"/>
                <w:color w:val="000000" w:themeColor="text1"/>
                <w:szCs w:val="21"/>
                <w:lang w:eastAsia="zh-Hans"/>
                <w14:textFill>
                  <w14:solidFill>
                    <w14:schemeClr w14:val="tx1"/>
                  </w14:solidFill>
                </w14:textFill>
              </w:rPr>
              <w:t>对</w:t>
            </w:r>
            <w:r>
              <w:rPr>
                <w:rFonts w:hint="eastAsia" w:ascii="宋体"/>
                <w:color w:val="000000" w:themeColor="text1"/>
                <w:szCs w:val="21"/>
                <w14:textFill>
                  <w14:solidFill>
                    <w14:schemeClr w14:val="tx1"/>
                  </w14:solidFill>
                </w14:textFill>
              </w:rPr>
              <w:t>英译中</w:t>
            </w:r>
            <w:r>
              <w:rPr>
                <w:rFonts w:hint="eastAsia" w:ascii="宋体"/>
                <w:color w:val="000000" w:themeColor="text1"/>
                <w:szCs w:val="21"/>
                <w:lang w:eastAsia="zh-Hans"/>
                <w14:textFill>
                  <w14:solidFill>
                    <w14:schemeClr w14:val="tx1"/>
                  </w14:solidFill>
                </w14:textFill>
              </w:rPr>
              <w:t>进行相应地</w:t>
            </w:r>
            <w:r>
              <w:rPr>
                <w:rFonts w:hint="eastAsia" w:ascii="宋体"/>
                <w:color w:val="000000" w:themeColor="text1"/>
                <w:szCs w:val="21"/>
                <w14:textFill>
                  <w14:solidFill>
                    <w14:schemeClr w14:val="tx1"/>
                  </w14:solidFill>
                </w14:textFill>
              </w:rPr>
              <w:t>口译</w:t>
            </w:r>
            <w:r>
              <w:rPr>
                <w:rFonts w:hint="eastAsia" w:ascii="宋体"/>
                <w:color w:val="000000" w:themeColor="text1"/>
                <w:szCs w:val="21"/>
                <w:lang w:eastAsia="zh-Hans"/>
                <w14:textFill>
                  <w14:solidFill>
                    <w14:schemeClr w14:val="tx1"/>
                  </w14:solidFill>
                </w14:textFill>
              </w:rPr>
              <w:t>操练</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6</w:t>
            </w:r>
          </w:p>
        </w:tc>
        <w:tc>
          <w:tcPr>
            <w:tcW w:w="11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综合型</w:t>
            </w:r>
          </w:p>
        </w:tc>
        <w:tc>
          <w:tcPr>
            <w:tcW w:w="12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2</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中译英口译</w:t>
            </w:r>
            <w:r>
              <w:rPr>
                <w:rFonts w:hint="eastAsia" w:ascii="宋体"/>
                <w:color w:val="000000" w:themeColor="text1"/>
                <w:szCs w:val="21"/>
                <w:lang w:eastAsia="zh-Hans"/>
                <w14:textFill>
                  <w14:solidFill>
                    <w14:schemeClr w14:val="tx1"/>
                  </w14:solidFill>
                </w14:textFill>
              </w:rPr>
              <w:t>操练</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color w:val="000000" w:themeColor="text1"/>
                <w:szCs w:val="21"/>
                <w14:textFill>
                  <w14:solidFill>
                    <w14:schemeClr w14:val="tx1"/>
                  </w14:solidFill>
                </w14:textFill>
              </w:rPr>
            </w:pPr>
            <w:r>
              <w:rPr>
                <w:rFonts w:hint="eastAsia" w:ascii="宋体"/>
                <w:color w:val="000000" w:themeColor="text1"/>
                <w:szCs w:val="21"/>
                <w:lang w:eastAsia="zh-Hans"/>
                <w14:textFill>
                  <w14:solidFill>
                    <w14:schemeClr w14:val="tx1"/>
                  </w14:solidFill>
                </w14:textFill>
              </w:rPr>
              <w:t>对</w:t>
            </w:r>
            <w:r>
              <w:rPr>
                <w:rFonts w:hint="eastAsia" w:ascii="宋体"/>
                <w:color w:val="000000" w:themeColor="text1"/>
                <w:szCs w:val="21"/>
                <w14:textFill>
                  <w14:solidFill>
                    <w14:schemeClr w14:val="tx1"/>
                  </w14:solidFill>
                </w14:textFill>
              </w:rPr>
              <w:t>中译英</w:t>
            </w:r>
            <w:r>
              <w:rPr>
                <w:rFonts w:hint="eastAsia" w:ascii="宋体"/>
                <w:color w:val="000000" w:themeColor="text1"/>
                <w:szCs w:val="21"/>
                <w:lang w:eastAsia="zh-Hans"/>
                <w14:textFill>
                  <w14:solidFill>
                    <w14:schemeClr w14:val="tx1"/>
                  </w14:solidFill>
                </w14:textFill>
              </w:rPr>
              <w:t>进行相应地</w:t>
            </w:r>
            <w:r>
              <w:rPr>
                <w:rFonts w:hint="eastAsia" w:ascii="宋体"/>
                <w:color w:val="000000" w:themeColor="text1"/>
                <w:szCs w:val="21"/>
                <w14:textFill>
                  <w14:solidFill>
                    <w14:schemeClr w14:val="tx1"/>
                  </w14:solidFill>
                </w14:textFill>
              </w:rPr>
              <w:t>口译</w:t>
            </w:r>
            <w:r>
              <w:rPr>
                <w:rFonts w:hint="eastAsia" w:ascii="宋体"/>
                <w:color w:val="000000" w:themeColor="text1"/>
                <w:szCs w:val="21"/>
                <w:lang w:eastAsia="zh-Hans"/>
                <w14:textFill>
                  <w14:solidFill>
                    <w14:schemeClr w14:val="tx1"/>
                  </w14:solidFill>
                </w14:textFill>
              </w:rPr>
              <w:t>操练</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6</w:t>
            </w:r>
          </w:p>
        </w:tc>
        <w:tc>
          <w:tcPr>
            <w:tcW w:w="11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综合型</w:t>
            </w:r>
          </w:p>
        </w:tc>
        <w:tc>
          <w:tcPr>
            <w:tcW w:w="12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3</w:t>
            </w:r>
          </w:p>
        </w:tc>
        <w:tc>
          <w:tcPr>
            <w:tcW w:w="199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中英交替口译</w:t>
            </w:r>
            <w:r>
              <w:rPr>
                <w:rFonts w:hint="eastAsia" w:ascii="宋体"/>
                <w:color w:val="000000" w:themeColor="text1"/>
                <w:szCs w:val="21"/>
                <w:lang w:eastAsia="zh-Hans"/>
                <w14:textFill>
                  <w14:solidFill>
                    <w14:schemeClr w14:val="tx1"/>
                  </w14:solidFill>
                </w14:textFill>
              </w:rPr>
              <w:t>操练</w:t>
            </w:r>
          </w:p>
        </w:tc>
        <w:tc>
          <w:tcPr>
            <w:tcW w:w="313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color w:val="000000" w:themeColor="text1"/>
                <w:szCs w:val="21"/>
                <w14:textFill>
                  <w14:solidFill>
                    <w14:schemeClr w14:val="tx1"/>
                  </w14:solidFill>
                </w14:textFill>
              </w:rPr>
            </w:pPr>
            <w:r>
              <w:rPr>
                <w:rFonts w:hint="eastAsia" w:ascii="宋体"/>
                <w:color w:val="000000" w:themeColor="text1"/>
                <w:szCs w:val="21"/>
                <w:lang w:eastAsia="zh-Hans"/>
                <w14:textFill>
                  <w14:solidFill>
                    <w14:schemeClr w14:val="tx1"/>
                  </w14:solidFill>
                </w14:textFill>
              </w:rPr>
              <w:t>对</w:t>
            </w:r>
            <w:r>
              <w:rPr>
                <w:rFonts w:hint="eastAsia" w:ascii="宋体"/>
                <w:color w:val="000000" w:themeColor="text1"/>
                <w:szCs w:val="21"/>
                <w14:textFill>
                  <w14:solidFill>
                    <w14:schemeClr w14:val="tx1"/>
                  </w14:solidFill>
                </w14:textFill>
              </w:rPr>
              <w:t>中英交替口译</w:t>
            </w:r>
            <w:r>
              <w:rPr>
                <w:rFonts w:hint="eastAsia" w:ascii="宋体"/>
                <w:color w:val="000000" w:themeColor="text1"/>
                <w:szCs w:val="21"/>
                <w:lang w:eastAsia="zh-Hans"/>
                <w14:textFill>
                  <w14:solidFill>
                    <w14:schemeClr w14:val="tx1"/>
                  </w14:solidFill>
                </w14:textFill>
              </w:rPr>
              <w:t>进行相应地操练</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15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综合型</w:t>
            </w:r>
          </w:p>
        </w:tc>
        <w:tc>
          <w:tcPr>
            <w:tcW w:w="12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Cs w:val="21"/>
                <w14:textFill>
                  <w14:solidFill>
                    <w14:schemeClr w14:val="tx1"/>
                  </w14:solidFill>
                </w14:textFill>
              </w:rPr>
            </w:pPr>
          </w:p>
        </w:tc>
      </w:tr>
    </w:tbl>
    <w:p>
      <w:pPr>
        <w:snapToGrid w:val="0"/>
        <w:spacing w:line="288" w:lineRule="auto"/>
        <w:ind w:right="2520"/>
        <w:rPr>
          <w:rFonts w:ascii="黑体" w:hAnsi="宋体" w:eastAsia="黑体"/>
          <w:color w:val="000000" w:themeColor="text1"/>
          <w:sz w:val="24"/>
          <w14:textFill>
            <w14:solidFill>
              <w14:schemeClr w14:val="tx1"/>
            </w14:solidFill>
          </w14:textFill>
        </w:rPr>
      </w:pPr>
    </w:p>
    <w:tbl>
      <w:tblPr>
        <w:tblStyle w:val="5"/>
        <w:tblpPr w:leftFromText="180" w:rightFromText="180" w:vertAnchor="text" w:horzAnchor="page" w:tblpX="1394" w:tblpY="717"/>
        <w:tblOverlap w:val="never"/>
        <w:tblW w:w="8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223"/>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napToGrid w:val="0"/>
              <w:spacing w:before="156" w:beforeLines="50" w:after="156" w:afterLines="5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总评构成（1+</w:t>
            </w:r>
            <w:r>
              <w:rPr>
                <w:rFonts w:ascii="宋体" w:hAnsi="宋体"/>
                <w:bCs/>
                <w:color w:val="000000" w:themeColor="text1"/>
                <w:sz w:val="24"/>
                <w:szCs w:val="24"/>
                <w14:textFill>
                  <w14:solidFill>
                    <w14:schemeClr w14:val="tx1"/>
                  </w14:solidFill>
                </w14:textFill>
              </w:rPr>
              <w:t>X</w:t>
            </w:r>
            <w:r>
              <w:rPr>
                <w:rFonts w:hint="eastAsia" w:ascii="宋体" w:hAnsi="宋体"/>
                <w:bCs/>
                <w:color w:val="000000" w:themeColor="text1"/>
                <w:sz w:val="24"/>
                <w:szCs w:val="24"/>
                <w14:textFill>
                  <w14:solidFill>
                    <w14:schemeClr w14:val="tx1"/>
                  </w14:solidFill>
                </w14:textFill>
              </w:rPr>
              <w:t>）</w:t>
            </w:r>
          </w:p>
        </w:tc>
        <w:tc>
          <w:tcPr>
            <w:tcW w:w="4223" w:type="dxa"/>
            <w:shd w:val="clear" w:color="auto" w:fill="auto"/>
          </w:tcPr>
          <w:p>
            <w:pPr>
              <w:snapToGrid w:val="0"/>
              <w:spacing w:before="156" w:beforeLines="50" w:after="156" w:afterLines="5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评价方式</w:t>
            </w:r>
          </w:p>
        </w:tc>
        <w:tc>
          <w:tcPr>
            <w:tcW w:w="2055" w:type="dxa"/>
            <w:shd w:val="clear" w:color="auto" w:fill="auto"/>
          </w:tcPr>
          <w:p>
            <w:pPr>
              <w:snapToGrid w:val="0"/>
              <w:spacing w:before="156" w:beforeLines="50" w:after="156" w:afterLines="5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napToGrid w:val="0"/>
              <w:spacing w:before="156" w:beforeLines="50" w:after="156" w:afterLines="5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w:t>
            </w:r>
          </w:p>
        </w:tc>
        <w:tc>
          <w:tcPr>
            <w:tcW w:w="4223" w:type="dxa"/>
            <w:shd w:val="clear" w:color="auto" w:fill="auto"/>
          </w:tcPr>
          <w:p>
            <w:pPr>
              <w:snapToGrid w:val="0"/>
              <w:spacing w:before="156" w:beforeLines="50" w:after="156" w:afterLines="50"/>
              <w:jc w:val="center"/>
              <w:rPr>
                <w:rFonts w:ascii="宋体" w:hAnsi="宋体"/>
                <w:bCs/>
                <w:color w:val="000000" w:themeColor="text1"/>
                <w:sz w:val="24"/>
                <w:szCs w:val="24"/>
                <w14:textFill>
                  <w14:solidFill>
                    <w14:schemeClr w14:val="tx1"/>
                  </w14:solidFill>
                </w14:textFill>
              </w:rPr>
            </w:pPr>
            <w:r>
              <w:rPr>
                <w:rFonts w:ascii="Times New Roman Regular" w:hAnsi="Times New Roman Regular" w:cs="Times New Roman Regular"/>
                <w:bCs/>
                <w:color w:val="000000" w:themeColor="text1"/>
                <w:sz w:val="24"/>
                <w:szCs w:val="24"/>
                <w14:textFill>
                  <w14:solidFill>
                    <w14:schemeClr w14:val="tx1"/>
                  </w14:solidFill>
                </w14:textFill>
              </w:rPr>
              <w:t>Final Examination口译考</w:t>
            </w:r>
            <w:r>
              <w:rPr>
                <w:rFonts w:hint="eastAsia" w:ascii="宋体" w:hAnsi="宋体"/>
                <w:bCs/>
                <w:color w:val="000000" w:themeColor="text1"/>
                <w:sz w:val="24"/>
                <w:szCs w:val="24"/>
                <w14:textFill>
                  <w14:solidFill>
                    <w14:schemeClr w14:val="tx1"/>
                  </w14:solidFill>
                </w14:textFill>
              </w:rPr>
              <w:t>试</w:t>
            </w:r>
          </w:p>
        </w:tc>
        <w:tc>
          <w:tcPr>
            <w:tcW w:w="2055" w:type="dxa"/>
            <w:shd w:val="clear" w:color="auto" w:fill="auto"/>
          </w:tcPr>
          <w:p>
            <w:pPr>
              <w:snapToGrid w:val="0"/>
              <w:spacing w:before="156" w:beforeLines="50" w:after="156" w:afterLines="5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napToGrid w:val="0"/>
              <w:spacing w:before="156" w:beforeLines="50" w:after="156" w:afterLines="5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X1</w:t>
            </w:r>
          </w:p>
        </w:tc>
        <w:tc>
          <w:tcPr>
            <w:tcW w:w="4223" w:type="dxa"/>
            <w:shd w:val="clear" w:color="auto" w:fill="auto"/>
          </w:tcPr>
          <w:p>
            <w:pPr>
              <w:snapToGrid w:val="0"/>
              <w:spacing w:before="156" w:beforeLines="50" w:after="156" w:afterLines="5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Quiz 1</w:t>
            </w:r>
          </w:p>
        </w:tc>
        <w:tc>
          <w:tcPr>
            <w:tcW w:w="2055" w:type="dxa"/>
            <w:shd w:val="clear" w:color="auto" w:fill="auto"/>
          </w:tcPr>
          <w:p>
            <w:pPr>
              <w:snapToGrid w:val="0"/>
              <w:spacing w:before="156" w:beforeLines="50" w:after="156" w:afterLines="5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napToGrid w:val="0"/>
              <w:spacing w:before="156" w:beforeLines="50" w:after="156" w:afterLines="5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X2</w:t>
            </w:r>
          </w:p>
        </w:tc>
        <w:tc>
          <w:tcPr>
            <w:tcW w:w="4223" w:type="dxa"/>
            <w:shd w:val="clear" w:color="auto" w:fill="auto"/>
          </w:tcPr>
          <w:p>
            <w:pPr>
              <w:snapToGrid w:val="0"/>
              <w:spacing w:before="156" w:beforeLines="50" w:after="156" w:afterLines="5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Quiz 2</w:t>
            </w:r>
          </w:p>
        </w:tc>
        <w:tc>
          <w:tcPr>
            <w:tcW w:w="2055" w:type="dxa"/>
            <w:shd w:val="clear" w:color="auto" w:fill="auto"/>
          </w:tcPr>
          <w:p>
            <w:pPr>
              <w:snapToGrid w:val="0"/>
              <w:spacing w:before="156" w:beforeLines="50" w:after="156" w:afterLines="5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snapToGrid w:val="0"/>
              <w:spacing w:before="156" w:beforeLines="50" w:after="156" w:afterLines="5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X3</w:t>
            </w:r>
          </w:p>
        </w:tc>
        <w:tc>
          <w:tcPr>
            <w:tcW w:w="4223" w:type="dxa"/>
            <w:shd w:val="clear" w:color="auto" w:fill="auto"/>
          </w:tcPr>
          <w:p>
            <w:pPr>
              <w:snapToGrid w:val="0"/>
              <w:spacing w:before="156" w:beforeLines="50" w:after="156" w:afterLines="5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Quiz 3</w:t>
            </w:r>
          </w:p>
        </w:tc>
        <w:tc>
          <w:tcPr>
            <w:tcW w:w="2055" w:type="dxa"/>
            <w:shd w:val="clear" w:color="auto" w:fill="auto"/>
          </w:tcPr>
          <w:p>
            <w:pPr>
              <w:snapToGrid w:val="0"/>
              <w:spacing w:before="156" w:beforeLines="50" w:after="156" w:afterLines="50"/>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15%</w:t>
            </w:r>
          </w:p>
        </w:tc>
      </w:tr>
    </w:tbl>
    <w:p>
      <w:pPr>
        <w:snapToGrid w:val="0"/>
        <w:spacing w:before="156" w:beforeLines="50" w:after="156" w:afterLines="50"/>
        <w:jc w:val="left"/>
        <w:rPr>
          <w:rFonts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Cs/>
          <w:color w:val="000000" w:themeColor="text1"/>
          <w:sz w:val="24"/>
          <w:szCs w:val="24"/>
          <w14:textFill>
            <w14:solidFill>
              <w14:schemeClr w14:val="tx1"/>
            </w14:solidFill>
          </w14:textFill>
        </w:rPr>
        <w:t>八、评价方式与成绩</w:t>
      </w:r>
    </w:p>
    <w:p>
      <w:pPr>
        <w:snapToGrid w:val="0"/>
        <w:spacing w:before="120" w:after="120" w:line="288" w:lineRule="auto"/>
        <w:rPr>
          <w:rFonts w:ascii="宋体" w:hAnsi="宋体"/>
          <w:color w:val="000000" w:themeColor="text1"/>
          <w:sz w:val="20"/>
          <w:szCs w:val="20"/>
          <w14:textFill>
            <w14:solidFill>
              <w14:schemeClr w14:val="tx1"/>
            </w14:solidFill>
          </w14:textFill>
        </w:rPr>
      </w:pPr>
    </w:p>
    <w:p>
      <w:pPr>
        <w:snapToGrid w:val="0"/>
        <w:spacing w:line="288" w:lineRule="auto"/>
        <w:ind w:firstLine="840" w:firstLineChars="300"/>
        <w:rPr>
          <w:rFonts w:hint="eastAsia"/>
          <w:color w:val="000000" w:themeColor="text1"/>
          <w:sz w:val="28"/>
          <w:szCs w:val="28"/>
          <w14:textFill>
            <w14:solidFill>
              <w14:schemeClr w14:val="tx1"/>
            </w14:solidFill>
          </w14:textFill>
        </w:rPr>
      </w:pPr>
    </w:p>
    <w:p>
      <w:pPr>
        <w:snapToGrid w:val="0"/>
        <w:spacing w:line="288" w:lineRule="auto"/>
        <w:ind w:firstLine="840" w:firstLineChars="300"/>
        <w:rPr>
          <w:rFonts w:hint="eastAsia"/>
          <w:color w:val="000000" w:themeColor="text1"/>
          <w:sz w:val="28"/>
          <w:szCs w:val="28"/>
          <w14:textFill>
            <w14:solidFill>
              <w14:schemeClr w14:val="tx1"/>
            </w14:solidFill>
          </w14:textFill>
        </w:rPr>
      </w:pPr>
    </w:p>
    <w:p>
      <w:pPr>
        <w:snapToGrid w:val="0"/>
        <w:spacing w:line="288" w:lineRule="auto"/>
        <w:ind w:firstLine="840" w:firstLineChars="300"/>
        <w:rPr>
          <w:rFonts w:hint="eastAsia"/>
          <w:color w:val="000000" w:themeColor="text1"/>
          <w:sz w:val="28"/>
          <w:szCs w:val="28"/>
          <w14:textFill>
            <w14:solidFill>
              <w14:schemeClr w14:val="tx1"/>
            </w14:solidFill>
          </w14:textFill>
        </w:rPr>
      </w:pPr>
    </w:p>
    <w:p>
      <w:pPr>
        <w:snapToGrid w:val="0"/>
        <w:spacing w:line="288" w:lineRule="auto"/>
        <w:ind w:firstLine="840" w:firstLineChars="300"/>
        <w:rPr>
          <w:rFonts w:hint="eastAsia"/>
          <w:color w:val="000000" w:themeColor="text1"/>
          <w:sz w:val="28"/>
          <w:szCs w:val="28"/>
          <w14:textFill>
            <w14:solidFill>
              <w14:schemeClr w14:val="tx1"/>
            </w14:solidFill>
          </w14:textFill>
        </w:rPr>
      </w:pPr>
    </w:p>
    <w:p>
      <w:pPr>
        <w:snapToGrid w:val="0"/>
        <w:spacing w:line="288" w:lineRule="auto"/>
        <w:ind w:firstLine="840" w:firstLineChars="300"/>
        <w:rPr>
          <w:rFonts w:hint="eastAsia"/>
          <w:color w:val="000000" w:themeColor="text1"/>
          <w:sz w:val="28"/>
          <w:szCs w:val="28"/>
          <w14:textFill>
            <w14:solidFill>
              <w14:schemeClr w14:val="tx1"/>
            </w14:solidFill>
          </w14:textFill>
        </w:rPr>
      </w:pPr>
    </w:p>
    <w:p>
      <w:pPr>
        <w:snapToGrid w:val="0"/>
        <w:spacing w:line="288" w:lineRule="auto"/>
        <w:ind w:firstLine="840" w:firstLineChars="300"/>
        <w:rPr>
          <w:rFonts w:hint="eastAsia"/>
          <w:color w:val="000000" w:themeColor="text1"/>
          <w:sz w:val="28"/>
          <w:szCs w:val="28"/>
          <w14:textFill>
            <w14:solidFill>
              <w14:schemeClr w14:val="tx1"/>
            </w14:solidFill>
          </w14:textFill>
        </w:rPr>
      </w:pPr>
    </w:p>
    <w:p>
      <w:pPr>
        <w:snapToGrid w:val="0"/>
        <w:spacing w:line="288" w:lineRule="auto"/>
        <w:ind w:firstLine="840" w:firstLineChars="300"/>
        <w:rPr>
          <w:rFonts w:hint="eastAsia"/>
          <w:color w:val="000000" w:themeColor="text1"/>
          <w:sz w:val="28"/>
          <w:szCs w:val="28"/>
          <w14:textFill>
            <w14:solidFill>
              <w14:schemeClr w14:val="tx1"/>
            </w14:solidFill>
          </w14:textFill>
        </w:rPr>
      </w:pPr>
    </w:p>
    <w:p>
      <w:pPr>
        <w:snapToGrid w:val="0"/>
        <w:spacing w:line="288" w:lineRule="auto"/>
        <w:ind w:firstLine="630" w:firstLineChars="300"/>
        <w:rPr>
          <w:rFonts w:hint="eastAsia"/>
          <w:color w:val="000000" w:themeColor="text1"/>
          <w:sz w:val="28"/>
          <w:szCs w:val="28"/>
          <w14:textFill>
            <w14:solidFill>
              <w14:schemeClr w14:val="tx1"/>
            </w14:solidFill>
          </w14:textFill>
        </w:rPr>
      </w:pPr>
      <w:r>
        <w:rPr>
          <w:rFonts w:hint="eastAsia" w:ascii="宋体" w:hAnsi="宋体" w:cs="宋体"/>
          <w:color w:val="000000"/>
          <w:szCs w:val="21"/>
          <w:u w:color="000000"/>
        </w:rPr>
        <w:drawing>
          <wp:anchor distT="0" distB="0" distL="114300" distR="114300" simplePos="0" relativeHeight="251661312" behindDoc="0" locked="0" layoutInCell="1" allowOverlap="1">
            <wp:simplePos x="0" y="0"/>
            <wp:positionH relativeFrom="column">
              <wp:posOffset>-2634615</wp:posOffset>
            </wp:positionH>
            <wp:positionV relativeFrom="paragraph">
              <wp:posOffset>166370</wp:posOffset>
            </wp:positionV>
            <wp:extent cx="972185" cy="419735"/>
            <wp:effectExtent l="0" t="0" r="18415" b="18415"/>
            <wp:wrapNone/>
            <wp:docPr id="2" name="图片 2" descr="张丽娟老师的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张丽娟老师的电子签名"/>
                    <pic:cNvPicPr>
                      <a:picLocks noChangeAspect="1"/>
                    </pic:cNvPicPr>
                  </pic:nvPicPr>
                  <pic:blipFill>
                    <a:blip r:embed="rId5"/>
                    <a:stretch>
                      <a:fillRect/>
                    </a:stretch>
                  </pic:blipFill>
                  <pic:spPr>
                    <a:xfrm>
                      <a:off x="0" y="0"/>
                      <a:ext cx="972185" cy="419735"/>
                    </a:xfrm>
                    <a:prstGeom prst="rect">
                      <a:avLst/>
                    </a:prstGeom>
                  </pic:spPr>
                </pic:pic>
              </a:graphicData>
            </a:graphic>
          </wp:anchor>
        </w:drawing>
      </w:r>
      <w:r>
        <w:rPr>
          <w:rFonts w:hint="eastAsia"/>
          <w:sz w:val="24"/>
        </w:rPr>
        <w:drawing>
          <wp:anchor distT="0" distB="0" distL="0" distR="0" simplePos="0" relativeHeight="251660288" behindDoc="0" locked="0" layoutInCell="1" allowOverlap="1">
            <wp:simplePos x="0" y="0"/>
            <wp:positionH relativeFrom="column">
              <wp:posOffset>-4391660</wp:posOffset>
            </wp:positionH>
            <wp:positionV relativeFrom="paragraph">
              <wp:posOffset>254635</wp:posOffset>
            </wp:positionV>
            <wp:extent cx="425450" cy="260350"/>
            <wp:effectExtent l="0" t="0" r="12700" b="6350"/>
            <wp:wrapNone/>
            <wp:docPr id="5" name="图片 5" descr="9837c905f0806ab9ea7a1d93f2a1a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837c905f0806ab9ea7a1d93f2a1ac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25450" cy="260350"/>
                    </a:xfrm>
                    <a:prstGeom prst="rect">
                      <a:avLst/>
                    </a:prstGeom>
                    <a:noFill/>
                    <a:ln>
                      <a:noFill/>
                    </a:ln>
                  </pic:spPr>
                </pic:pic>
              </a:graphicData>
            </a:graphic>
          </wp:anchor>
        </w:drawing>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288" w:lineRule="auto"/>
        <w:rPr>
          <w:rFonts w:ascii="宋体" w:hAnsi="宋体" w:cs="宋体"/>
          <w:color w:val="000000"/>
          <w:szCs w:val="21"/>
          <w:u w:color="000000"/>
          <w:lang w:val="zh-Hans" w:eastAsia="zh-Hans"/>
        </w:rPr>
      </w:pPr>
      <w:r>
        <w:rPr>
          <w:rFonts w:hint="eastAsia"/>
          <w:sz w:val="28"/>
          <w:szCs w:val="28"/>
        </w:rPr>
        <w:drawing>
          <wp:anchor distT="0" distB="0" distL="114300" distR="114300" simplePos="0" relativeHeight="251659264" behindDoc="0" locked="0" layoutInCell="1" allowOverlap="1">
            <wp:simplePos x="0" y="0"/>
            <wp:positionH relativeFrom="column">
              <wp:posOffset>508000</wp:posOffset>
            </wp:positionH>
            <wp:positionV relativeFrom="paragraph">
              <wp:posOffset>22225</wp:posOffset>
            </wp:positionV>
            <wp:extent cx="695325" cy="315595"/>
            <wp:effectExtent l="0" t="0" r="9525" b="8255"/>
            <wp:wrapNone/>
            <wp:docPr id="1" name="图片 1" descr="a62c3fd1704fdda71654052258fa6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2c3fd1704fdda71654052258fa6cb"/>
                    <pic:cNvPicPr>
                      <a:picLocks noChangeAspect="1"/>
                    </pic:cNvPicPr>
                  </pic:nvPicPr>
                  <pic:blipFill>
                    <a:blip r:embed="rId7"/>
                    <a:srcRect l="20345" r="14515" b="-1016"/>
                    <a:stretch>
                      <a:fillRect/>
                    </a:stretch>
                  </pic:blipFill>
                  <pic:spPr>
                    <a:xfrm>
                      <a:off x="0" y="0"/>
                      <a:ext cx="695325" cy="315595"/>
                    </a:xfrm>
                    <a:prstGeom prst="rect">
                      <a:avLst/>
                    </a:prstGeom>
                    <a:noFill/>
                    <a:ln w="9525">
                      <a:noFill/>
                    </a:ln>
                  </pic:spPr>
                </pic:pic>
              </a:graphicData>
            </a:graphic>
          </wp:anchor>
        </w:drawing>
      </w:r>
      <w:r>
        <w:rPr>
          <w:rFonts w:ascii="宋体" w:hAnsi="宋体" w:cs="宋体"/>
          <w:color w:val="000000"/>
          <w:szCs w:val="21"/>
          <w:u w:color="000000"/>
          <w:lang w:val="zh-Hans" w:eastAsia="zh-Hans"/>
        </w:rPr>
        <w:t>撰写</w:t>
      </w:r>
      <w:r>
        <w:rPr>
          <w:rFonts w:hint="eastAsia" w:ascii="宋体" w:hAnsi="宋体" w:cs="宋体"/>
          <w:color w:val="000000"/>
          <w:szCs w:val="21"/>
          <w:u w:color="000000"/>
          <w:lang w:val="zh-Hans" w:eastAsia="zh-Hans"/>
        </w:rPr>
        <w:t>人</w:t>
      </w:r>
      <w:r>
        <w:rPr>
          <w:rFonts w:ascii="宋体" w:hAnsi="宋体" w:cs="宋体"/>
          <w:color w:val="000000"/>
          <w:szCs w:val="21"/>
          <w:u w:color="000000"/>
          <w:lang w:val="zh-Hans" w:eastAsia="zh-Hans"/>
        </w:rPr>
        <w:t xml:space="preserve">：    </w:t>
      </w:r>
      <w:r>
        <w:rPr>
          <w:rFonts w:hint="eastAsia" w:ascii="宋体" w:hAnsi="宋体" w:cs="宋体"/>
          <w:color w:val="000000"/>
          <w:szCs w:val="21"/>
          <w:u w:color="000000"/>
          <w:lang w:val="en-US" w:eastAsia="zh-CN"/>
        </w:rPr>
        <w:t xml:space="preserve">                 </w:t>
      </w:r>
      <w:r>
        <w:rPr>
          <w:rFonts w:ascii="宋体" w:hAnsi="宋体" w:cs="宋体"/>
          <w:color w:val="000000"/>
          <w:szCs w:val="21"/>
          <w:u w:color="000000"/>
          <w:lang w:val="zh-Hans" w:eastAsia="zh-Hans"/>
        </w:rPr>
        <w:t>系主任审核</w:t>
      </w:r>
      <w:r>
        <w:rPr>
          <w:rFonts w:hint="eastAsia" w:ascii="宋体" w:hAnsi="宋体" w:cs="宋体"/>
          <w:color w:val="000000"/>
          <w:szCs w:val="21"/>
          <w:u w:color="000000"/>
          <w:lang w:val="zh-Hans" w:eastAsia="zh-Hans"/>
        </w:rPr>
        <w:t>签名</w:t>
      </w:r>
      <w:r>
        <w:rPr>
          <w:rFonts w:ascii="宋体" w:hAnsi="宋体" w:cs="宋体"/>
          <w:color w:val="000000"/>
          <w:szCs w:val="21"/>
          <w:u w:color="000000"/>
          <w:lang w:val="zh-Hans" w:eastAsia="zh-Hans"/>
        </w:rPr>
        <w:t>：</w:t>
      </w:r>
      <w:r>
        <w:rPr>
          <w:rFonts w:hint="eastAsia" w:ascii="宋体" w:hAnsi="宋体" w:cs="宋体"/>
          <w:color w:val="000000"/>
          <w:szCs w:val="21"/>
          <w:u w:color="000000"/>
          <w:lang w:val="zh-Hans"/>
        </w:rPr>
        <w:t xml:space="preserve">   </w:t>
      </w:r>
      <w:r>
        <w:rPr>
          <w:rFonts w:hint="eastAsia" w:ascii="宋体" w:hAnsi="宋体" w:cs="宋体"/>
          <w:color w:val="000000"/>
          <w:szCs w:val="21"/>
          <w:u w:color="000000"/>
          <w:lang w:val="en-US" w:eastAsia="zh-CN"/>
        </w:rPr>
        <w:t xml:space="preserve">                   </w:t>
      </w:r>
      <w:r>
        <w:rPr>
          <w:rFonts w:hint="eastAsia" w:ascii="宋体" w:hAnsi="宋体" w:cs="宋体"/>
          <w:color w:val="000000"/>
          <w:szCs w:val="21"/>
          <w:u w:color="000000"/>
          <w:lang w:val="zh-Hans" w:eastAsia="zh-Hans"/>
        </w:rPr>
        <w:t>审核时间：</w:t>
      </w:r>
      <w:r>
        <w:rPr>
          <w:rFonts w:hint="eastAsia" w:ascii="宋体" w:hAnsi="宋体" w:cs="宋体"/>
          <w:color w:val="000000"/>
          <w:szCs w:val="21"/>
          <w:u w:color="000000"/>
          <w:lang w:val="zh-Hans"/>
        </w:rPr>
        <w:t>202</w:t>
      </w:r>
      <w:r>
        <w:rPr>
          <w:rFonts w:hint="eastAsia" w:ascii="宋体" w:hAnsi="宋体" w:cs="宋体"/>
          <w:color w:val="000000"/>
          <w:szCs w:val="21"/>
          <w:u w:color="000000"/>
        </w:rPr>
        <w:t>2</w:t>
      </w:r>
      <w:r>
        <w:rPr>
          <w:rFonts w:hint="eastAsia" w:ascii="宋体" w:hAnsi="宋体" w:cs="宋体"/>
          <w:color w:val="000000"/>
          <w:szCs w:val="21"/>
          <w:u w:color="000000"/>
          <w:lang w:val="zh-Hans"/>
        </w:rPr>
        <w:t>.9</w:t>
      </w:r>
    </w:p>
    <w:p>
      <w:pPr>
        <w:snapToGrid w:val="0"/>
        <w:spacing w:line="288" w:lineRule="auto"/>
        <w:rPr>
          <w:rFonts w:hint="eastAsia"/>
          <w:color w:val="000000" w:themeColor="text1"/>
          <w:sz w:val="28"/>
          <w:szCs w:val="28"/>
          <w14:textFill>
            <w14:solidFill>
              <w14:schemeClr w14:val="tx1"/>
            </w14:solidFill>
          </w14:textFill>
        </w:rPr>
      </w:pPr>
    </w:p>
    <w:p>
      <w:pPr>
        <w:snapToGrid w:val="0"/>
        <w:spacing w:line="288" w:lineRule="auto"/>
        <w:rPr>
          <w:rFonts w:hint="eastAsia"/>
          <w:color w:val="000000" w:themeColor="text1"/>
          <w:sz w:val="28"/>
          <w:szCs w:val="28"/>
          <w14:textFill>
            <w14:solidFill>
              <w14:schemeClr w14:val="tx1"/>
            </w14:solidFill>
          </w14:textFill>
        </w:rPr>
      </w:pPr>
    </w:p>
    <w:p>
      <w:pPr>
        <w:snapToGrid w:val="0"/>
        <w:spacing w:line="288" w:lineRule="auto"/>
        <w:rPr>
          <w:rFonts w:hint="eastAsia"/>
          <w:color w:val="000000" w:themeColor="text1"/>
          <w:sz w:val="28"/>
          <w:szCs w:val="28"/>
          <w14:textFill>
            <w14:solidFill>
              <w14:schemeClr w14:val="tx1"/>
            </w14:solidFill>
          </w14:textFill>
        </w:rPr>
      </w:pPr>
    </w:p>
    <w:p>
      <w:pPr>
        <w:snapToGrid w:val="0"/>
        <w:spacing w:line="288" w:lineRule="auto"/>
        <w:rPr>
          <w:rFonts w:hint="eastAsia"/>
          <w:color w:val="000000" w:themeColor="text1"/>
          <w:sz w:val="28"/>
          <w:szCs w:val="28"/>
          <w14:textFill>
            <w14:solidFill>
              <w14:schemeClr w14:val="tx1"/>
            </w14:solidFill>
          </w14:textFill>
        </w:rPr>
      </w:pPr>
      <w:bookmarkStart w:id="1" w:name="_GoBack"/>
      <w:bookmarkEnd w:id="1"/>
    </w:p>
    <w:p>
      <w:pPr>
        <w:snapToGrid w:val="0"/>
        <w:spacing w:line="288" w:lineRule="auto"/>
      </w:pPr>
      <w:r>
        <w:rPr>
          <w:rFonts w:hint="eastAsia"/>
          <w:color w:val="000000" w:themeColor="text1"/>
          <w:sz w:val="28"/>
          <w:szCs w:val="28"/>
          <w14:textFill>
            <w14:solidFill>
              <w14:schemeClr w14:val="tx1"/>
            </w14:solidFill>
          </w14:textFill>
        </w:rPr>
        <w:t xml:space="preserve">                </w:t>
      </w: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 w:name="Times New Roman Regular">
    <w:altName w:val="Arial"/>
    <w:panose1 w:val="00000000000000000000"/>
    <w:charset w:val="00"/>
    <w:family w:val="auto"/>
    <w:pitch w:val="default"/>
    <w:sig w:usb0="00000000" w:usb1="00000000"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YTJjZTAxZWYzN2RlODRkZTdjOTgxYmEwZmVhMjQifQ=="/>
  </w:docVars>
  <w:rsids>
    <w:rsidRoot w:val="00B7651F"/>
    <w:rsid w:val="00021450"/>
    <w:rsid w:val="00031553"/>
    <w:rsid w:val="001072BC"/>
    <w:rsid w:val="00167F0E"/>
    <w:rsid w:val="0017279C"/>
    <w:rsid w:val="00256B39"/>
    <w:rsid w:val="0026033C"/>
    <w:rsid w:val="002913CD"/>
    <w:rsid w:val="002C5F7E"/>
    <w:rsid w:val="002E3721"/>
    <w:rsid w:val="00313BBA"/>
    <w:rsid w:val="00320ACF"/>
    <w:rsid w:val="0032418B"/>
    <w:rsid w:val="0032602E"/>
    <w:rsid w:val="003367AE"/>
    <w:rsid w:val="003B1258"/>
    <w:rsid w:val="004100B0"/>
    <w:rsid w:val="00435842"/>
    <w:rsid w:val="00444491"/>
    <w:rsid w:val="00462994"/>
    <w:rsid w:val="00487E14"/>
    <w:rsid w:val="004F304B"/>
    <w:rsid w:val="004F5BCE"/>
    <w:rsid w:val="005467DC"/>
    <w:rsid w:val="00553D03"/>
    <w:rsid w:val="00562015"/>
    <w:rsid w:val="005725FD"/>
    <w:rsid w:val="005821CB"/>
    <w:rsid w:val="005B2B6D"/>
    <w:rsid w:val="005B4B4E"/>
    <w:rsid w:val="00615309"/>
    <w:rsid w:val="00624FE1"/>
    <w:rsid w:val="00715425"/>
    <w:rsid w:val="007208D6"/>
    <w:rsid w:val="00782293"/>
    <w:rsid w:val="007928CC"/>
    <w:rsid w:val="007B4F60"/>
    <w:rsid w:val="007D17A4"/>
    <w:rsid w:val="00847CC5"/>
    <w:rsid w:val="0086352E"/>
    <w:rsid w:val="008B397C"/>
    <w:rsid w:val="008B47F4"/>
    <w:rsid w:val="00900019"/>
    <w:rsid w:val="009238D2"/>
    <w:rsid w:val="00931F46"/>
    <w:rsid w:val="00964A9E"/>
    <w:rsid w:val="0099063E"/>
    <w:rsid w:val="009E370C"/>
    <w:rsid w:val="00A45B98"/>
    <w:rsid w:val="00A5422B"/>
    <w:rsid w:val="00A769B1"/>
    <w:rsid w:val="00AB6A0F"/>
    <w:rsid w:val="00AC4C45"/>
    <w:rsid w:val="00AE2934"/>
    <w:rsid w:val="00B46F21"/>
    <w:rsid w:val="00B511A5"/>
    <w:rsid w:val="00B674C8"/>
    <w:rsid w:val="00B736A7"/>
    <w:rsid w:val="00B7651F"/>
    <w:rsid w:val="00BB2797"/>
    <w:rsid w:val="00BB513B"/>
    <w:rsid w:val="00BB73C8"/>
    <w:rsid w:val="00C02DDE"/>
    <w:rsid w:val="00C56E09"/>
    <w:rsid w:val="00CC39B7"/>
    <w:rsid w:val="00CF096B"/>
    <w:rsid w:val="00CF4E68"/>
    <w:rsid w:val="00D77966"/>
    <w:rsid w:val="00D97FDA"/>
    <w:rsid w:val="00DF1F63"/>
    <w:rsid w:val="00E16D30"/>
    <w:rsid w:val="00E311E3"/>
    <w:rsid w:val="00E33169"/>
    <w:rsid w:val="00E70904"/>
    <w:rsid w:val="00E77ED5"/>
    <w:rsid w:val="00EB77ED"/>
    <w:rsid w:val="00EF44B1"/>
    <w:rsid w:val="00F3163D"/>
    <w:rsid w:val="00F35AA0"/>
    <w:rsid w:val="00FA4AAB"/>
    <w:rsid w:val="00FE09A8"/>
    <w:rsid w:val="024B0C39"/>
    <w:rsid w:val="03A345A5"/>
    <w:rsid w:val="052579A1"/>
    <w:rsid w:val="05966986"/>
    <w:rsid w:val="06F14473"/>
    <w:rsid w:val="084B2E29"/>
    <w:rsid w:val="0A48515A"/>
    <w:rsid w:val="0A8128A6"/>
    <w:rsid w:val="0BF32A1B"/>
    <w:rsid w:val="0EDA06AA"/>
    <w:rsid w:val="0F446BB0"/>
    <w:rsid w:val="0F753D47"/>
    <w:rsid w:val="10BD2C22"/>
    <w:rsid w:val="12EE0C65"/>
    <w:rsid w:val="13FF3A56"/>
    <w:rsid w:val="14C109B8"/>
    <w:rsid w:val="14EE2BBA"/>
    <w:rsid w:val="157503F7"/>
    <w:rsid w:val="15CC7D72"/>
    <w:rsid w:val="18933215"/>
    <w:rsid w:val="1DFF72AF"/>
    <w:rsid w:val="22987C80"/>
    <w:rsid w:val="23FAAA4B"/>
    <w:rsid w:val="24192CCC"/>
    <w:rsid w:val="263E4B70"/>
    <w:rsid w:val="269078E1"/>
    <w:rsid w:val="2750772B"/>
    <w:rsid w:val="282B53DF"/>
    <w:rsid w:val="2F4D50B2"/>
    <w:rsid w:val="2FBD97F0"/>
    <w:rsid w:val="301D6217"/>
    <w:rsid w:val="36A42F8D"/>
    <w:rsid w:val="36A6094C"/>
    <w:rsid w:val="377A984A"/>
    <w:rsid w:val="37F856EA"/>
    <w:rsid w:val="38D97C68"/>
    <w:rsid w:val="39A66CD4"/>
    <w:rsid w:val="3CD52CE1"/>
    <w:rsid w:val="3DBF8501"/>
    <w:rsid w:val="3DCC1B3F"/>
    <w:rsid w:val="3EEF6DC9"/>
    <w:rsid w:val="410F2E6A"/>
    <w:rsid w:val="41CF1699"/>
    <w:rsid w:val="4395205C"/>
    <w:rsid w:val="4430136C"/>
    <w:rsid w:val="452E40AD"/>
    <w:rsid w:val="464C61FF"/>
    <w:rsid w:val="46762949"/>
    <w:rsid w:val="46FE1FAE"/>
    <w:rsid w:val="47B412F5"/>
    <w:rsid w:val="484A2492"/>
    <w:rsid w:val="48705ED3"/>
    <w:rsid w:val="495E0F87"/>
    <w:rsid w:val="4AB0382B"/>
    <w:rsid w:val="4C894293"/>
    <w:rsid w:val="4CC24E59"/>
    <w:rsid w:val="4CF711F2"/>
    <w:rsid w:val="4D233F6B"/>
    <w:rsid w:val="4D50459C"/>
    <w:rsid w:val="4FBF6DB8"/>
    <w:rsid w:val="50141A58"/>
    <w:rsid w:val="51103F2B"/>
    <w:rsid w:val="529E65BE"/>
    <w:rsid w:val="555D027D"/>
    <w:rsid w:val="55FF91F8"/>
    <w:rsid w:val="56643A25"/>
    <w:rsid w:val="569868B5"/>
    <w:rsid w:val="56EFE729"/>
    <w:rsid w:val="579140FF"/>
    <w:rsid w:val="57FF1F87"/>
    <w:rsid w:val="58FA5443"/>
    <w:rsid w:val="5AEBEFB1"/>
    <w:rsid w:val="5D59148C"/>
    <w:rsid w:val="5EFBAAA1"/>
    <w:rsid w:val="5FF3873F"/>
    <w:rsid w:val="602F6604"/>
    <w:rsid w:val="611F6817"/>
    <w:rsid w:val="61EE6A96"/>
    <w:rsid w:val="629347A9"/>
    <w:rsid w:val="63950146"/>
    <w:rsid w:val="65AA592F"/>
    <w:rsid w:val="669262FE"/>
    <w:rsid w:val="66CA1754"/>
    <w:rsid w:val="675110C9"/>
    <w:rsid w:val="6B98042B"/>
    <w:rsid w:val="6DA79866"/>
    <w:rsid w:val="6E5C29D0"/>
    <w:rsid w:val="6F1E65D4"/>
    <w:rsid w:val="6F266C86"/>
    <w:rsid w:val="6F5042C2"/>
    <w:rsid w:val="6F7F79E0"/>
    <w:rsid w:val="6FF709A5"/>
    <w:rsid w:val="72BB33AC"/>
    <w:rsid w:val="74246B54"/>
    <w:rsid w:val="74316312"/>
    <w:rsid w:val="74CD5B5C"/>
    <w:rsid w:val="74CDEC75"/>
    <w:rsid w:val="756E0EDA"/>
    <w:rsid w:val="75AF3A3C"/>
    <w:rsid w:val="767FBE53"/>
    <w:rsid w:val="772B283F"/>
    <w:rsid w:val="776006D1"/>
    <w:rsid w:val="77EEFD3F"/>
    <w:rsid w:val="77FB6839"/>
    <w:rsid w:val="780F13C8"/>
    <w:rsid w:val="78A85271"/>
    <w:rsid w:val="79296B00"/>
    <w:rsid w:val="79787732"/>
    <w:rsid w:val="79ABE2FD"/>
    <w:rsid w:val="7ADD59D6"/>
    <w:rsid w:val="7BF25E20"/>
    <w:rsid w:val="7C385448"/>
    <w:rsid w:val="7CE79828"/>
    <w:rsid w:val="7D796B1D"/>
    <w:rsid w:val="7E4B5E4A"/>
    <w:rsid w:val="7E75CFE7"/>
    <w:rsid w:val="7E770D9E"/>
    <w:rsid w:val="7E7804AD"/>
    <w:rsid w:val="7EB9A66D"/>
    <w:rsid w:val="7F736BE4"/>
    <w:rsid w:val="7F7759A4"/>
    <w:rsid w:val="7FB3A5FF"/>
    <w:rsid w:val="7FBFD1F1"/>
    <w:rsid w:val="7FFA30B7"/>
    <w:rsid w:val="85F53261"/>
    <w:rsid w:val="8AF6FAB9"/>
    <w:rsid w:val="9D9B2B1D"/>
    <w:rsid w:val="ADEEAB27"/>
    <w:rsid w:val="AFD8308D"/>
    <w:rsid w:val="B22FB263"/>
    <w:rsid w:val="B67EC85A"/>
    <w:rsid w:val="BAFF349E"/>
    <w:rsid w:val="BFBF4A67"/>
    <w:rsid w:val="BFFCE510"/>
    <w:rsid w:val="C5D5F447"/>
    <w:rsid w:val="C5F71786"/>
    <w:rsid w:val="D59ADEB3"/>
    <w:rsid w:val="D9F3F8C7"/>
    <w:rsid w:val="DFDFCF0B"/>
    <w:rsid w:val="DFF787EF"/>
    <w:rsid w:val="DFFDF7A5"/>
    <w:rsid w:val="DFFF6F00"/>
    <w:rsid w:val="E29E25C8"/>
    <w:rsid w:val="E33EE6E1"/>
    <w:rsid w:val="E37793BF"/>
    <w:rsid w:val="EEBEC939"/>
    <w:rsid w:val="EFB93FBC"/>
    <w:rsid w:val="EFF7246B"/>
    <w:rsid w:val="EFFF5B06"/>
    <w:rsid w:val="F73A23BA"/>
    <w:rsid w:val="FBFBCD7D"/>
    <w:rsid w:val="FBFF28D9"/>
    <w:rsid w:val="FC6E2FB7"/>
    <w:rsid w:val="FCF36CA8"/>
    <w:rsid w:val="FEDE3DF5"/>
    <w:rsid w:val="FEDE8F25"/>
    <w:rsid w:val="FF5DA417"/>
    <w:rsid w:val="FF7F5D08"/>
    <w:rsid w:val="FFBD07C0"/>
    <w:rsid w:val="FFFB02E3"/>
    <w:rsid w:val="FFFB428E"/>
    <w:rsid w:val="FFFF34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character" w:customStyle="1" w:styleId="11">
    <w:name w:val="批注框文本 字符"/>
    <w:basedOn w:val="7"/>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6</Pages>
  <Words>3638</Words>
  <Characters>3886</Characters>
  <Lines>30</Lines>
  <Paragraphs>8</Paragraphs>
  <TotalTime>0</TotalTime>
  <ScaleCrop>false</ScaleCrop>
  <LinksUpToDate>false</LinksUpToDate>
  <CharactersWithSpaces>3997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2021-09-06T11:30:00Z</dcterms:created>
  <dc:creator>juvg</dc:creator>
  <cp:lastModifiedBy>Administrator</cp:lastModifiedBy>
  <cp:lastPrinted>2018-09-06T02:45:00Z</cp:lastPrinted>
  <dcterms:modified xsi:type="dcterms:W3CDTF">2022-12-02T01:30:04Z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F7F725E90DF5458BAAC44A0A40BF85A0</vt:lpwstr>
  </property>
</Properties>
</file>