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-811530</wp:posOffset>
                </wp:positionH>
                <wp:positionV relativeFrom="paragraph">
                  <wp:posOffset>-695325</wp:posOffset>
                </wp:positionV>
                <wp:extent cx="2635250" cy="367665"/>
                <wp:effectExtent l="0" t="0" r="0" b="381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3.9pt;margin-top:-54.75pt;height:28.95pt;width:207.5pt;z-index:251659264;mso-width-relative:page;mso-height-relative:page;" fillcolor="#FFFFFF" filled="t" stroked="f" coordsize="21600,21600" o:gfxdata="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lasZnaAAAADQEAAA8AAAAAAAAAAQAgAAAAIgAAAGRycy9kb3ducmV2LnhtbFBLAQIU&#10;ABQAAAAIAIdO4kA/PAGeKgIAAD4EAAAOAAAAAAAAAAEAIAAAACk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【德语分析阅读1】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German Reading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2020248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/>
          <w:color w:val="000000"/>
          <w:sz w:val="20"/>
          <w:szCs w:val="20"/>
        </w:rPr>
        <w:t>德语</w:t>
      </w:r>
      <w:bookmarkStart w:id="4" w:name="_GoBack"/>
      <w:bookmarkEnd w:id="4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="Times New Roman"/>
          <w:color w:val="000000"/>
          <w:sz w:val="20"/>
          <w:szCs w:val="20"/>
        </w:rPr>
        <w:t>《新编大学德语（阅读训练）》（第二版），朱建华主编，外语教学与研究社，</w:t>
      </w:r>
      <w:r>
        <w:rPr>
          <w:rFonts w:ascii="Times New Roman" w:hAnsi="Times New Roman"/>
          <w:color w:val="000000"/>
          <w:sz w:val="20"/>
          <w:szCs w:val="20"/>
        </w:rPr>
        <w:t>2014</w:t>
      </w:r>
      <w:r>
        <w:rPr>
          <w:rFonts w:ascii="Times New Roman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/>
          <w:color w:val="000000"/>
          <w:sz w:val="20"/>
          <w:szCs w:val="20"/>
        </w:rPr>
      </w:pPr>
      <w:r>
        <w:rPr>
          <w:rFonts w:hint="eastAsia" w:ascii="Times New Roman"/>
          <w:color w:val="000000"/>
          <w:sz w:val="20"/>
          <w:szCs w:val="20"/>
        </w:rPr>
        <w:t>《德语中级阅读教程》，吴江主编，外语教学与研究出版社，2018。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/>
          <w:color w:val="000000"/>
          <w:sz w:val="20"/>
          <w:szCs w:val="20"/>
        </w:rPr>
      </w:pPr>
      <w:r>
        <w:rPr>
          <w:rFonts w:hint="eastAsia" w:ascii="Times New Roman"/>
          <w:color w:val="000000"/>
          <w:sz w:val="20"/>
          <w:szCs w:val="20"/>
        </w:rPr>
        <w:t>《全国高等学校德语专业四级考试真题及样题集》（2017-2020） 孔德明主编， 外语教学与研究出版社，2021。</w:t>
      </w:r>
    </w:p>
    <w:p>
      <w:pPr>
        <w:snapToGrid w:val="0"/>
        <w:spacing w:line="288" w:lineRule="auto"/>
        <w:ind w:firstLine="800" w:firstLineChars="400"/>
        <w:rPr>
          <w:rFonts w:ascii="Times New Roman" w:hAnsi="Times New Roman" w:eastAsiaTheme="majorEastAsia"/>
          <w:color w:val="000000"/>
          <w:sz w:val="20"/>
          <w:szCs w:val="20"/>
        </w:rPr>
      </w:pPr>
      <w:r>
        <w:rPr>
          <w:rFonts w:ascii="Times New Roman" w:eastAsiaTheme="majorEastAsia"/>
          <w:color w:val="000000"/>
          <w:sz w:val="20"/>
          <w:szCs w:val="20"/>
        </w:rPr>
        <w:t>《</w:t>
      </w:r>
      <w:r>
        <w:rPr>
          <w:rFonts w:hint="eastAsia" w:ascii="Times New Roman" w:eastAsiaTheme="majorEastAsia"/>
          <w:color w:val="000000"/>
          <w:sz w:val="20"/>
          <w:szCs w:val="20"/>
          <w:lang w:val="de-DE"/>
        </w:rPr>
        <w:t>大学德语四、六级考试高分突破——四级阅读</w:t>
      </w:r>
      <w:r>
        <w:rPr>
          <w:rFonts w:ascii="Times New Roman" w:eastAsiaTheme="majorEastAsia"/>
          <w:color w:val="000000"/>
          <w:sz w:val="20"/>
          <w:szCs w:val="20"/>
        </w:rPr>
        <w:t>》，</w:t>
      </w:r>
      <w:r>
        <w:rPr>
          <w:rFonts w:hint="eastAsia" w:ascii="Times New Roman" w:eastAsiaTheme="majorEastAsia"/>
          <w:color w:val="000000"/>
          <w:sz w:val="20"/>
          <w:szCs w:val="20"/>
        </w:rPr>
        <w:t>王颖频</w:t>
      </w:r>
      <w:r>
        <w:rPr>
          <w:rFonts w:ascii="Times New Roman" w:eastAsiaTheme="majorEastAsia"/>
          <w:color w:val="000000"/>
          <w:sz w:val="20"/>
          <w:szCs w:val="20"/>
        </w:rPr>
        <w:t>主编，</w:t>
      </w:r>
      <w:r>
        <w:rPr>
          <w:rFonts w:hint="eastAsia" w:ascii="Times New Roman" w:eastAsiaTheme="majorEastAsia"/>
          <w:color w:val="000000"/>
          <w:sz w:val="20"/>
          <w:szCs w:val="20"/>
        </w:rPr>
        <w:t>外语教育与研究出版社</w:t>
      </w:r>
      <w:r>
        <w:rPr>
          <w:rFonts w:ascii="Times New Roman" w:eastAsiaTheme="majorEastAsia"/>
          <w:color w:val="000000"/>
          <w:sz w:val="20"/>
          <w:szCs w:val="20"/>
        </w:rPr>
        <w:t>，</w:t>
      </w:r>
      <w:r>
        <w:rPr>
          <w:rFonts w:ascii="Times New Roman" w:hAnsi="Times New Roman" w:eastAsiaTheme="majorEastAsia"/>
          <w:color w:val="000000"/>
          <w:sz w:val="20"/>
          <w:szCs w:val="20"/>
        </w:rPr>
        <w:t>2013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800" w:firstLineChars="400"/>
        <w:rPr>
          <w:rFonts w:ascii="Times New Roman" w:hAnsi="Times New Roman" w:eastAsiaTheme="majorEastAsia"/>
          <w:color w:val="000000"/>
          <w:sz w:val="20"/>
          <w:szCs w:val="20"/>
        </w:rPr>
      </w:pPr>
      <w:r>
        <w:rPr>
          <w:rFonts w:ascii="Times New Roman" w:eastAsiaTheme="majorEastAsia"/>
          <w:color w:val="000000"/>
          <w:sz w:val="20"/>
          <w:szCs w:val="20"/>
        </w:rPr>
        <w:t>《</w:t>
      </w:r>
      <w:r>
        <w:rPr>
          <w:rFonts w:hint="eastAsia" w:ascii="Times New Roman" w:eastAsiaTheme="majorEastAsia"/>
          <w:color w:val="000000"/>
          <w:sz w:val="20"/>
          <w:szCs w:val="20"/>
        </w:rPr>
        <w:t>欧标德语阅读教程</w:t>
      </w:r>
      <w:r>
        <w:rPr>
          <w:rFonts w:ascii="Times New Roman" w:eastAsiaTheme="majorEastAsia"/>
          <w:color w:val="000000"/>
          <w:sz w:val="20"/>
          <w:szCs w:val="20"/>
        </w:rPr>
        <w:t>》，</w:t>
      </w:r>
      <w:r>
        <w:rPr>
          <w:rFonts w:hint="eastAsia" w:ascii="Times New Roman" w:eastAsiaTheme="majorEastAsia"/>
          <w:color w:val="000000"/>
          <w:sz w:val="20"/>
          <w:szCs w:val="20"/>
        </w:rPr>
        <w:t>侯宇晶，张亮</w:t>
      </w:r>
      <w:r>
        <w:rPr>
          <w:rFonts w:ascii="Times New Roman" w:eastAsiaTheme="majorEastAsia"/>
          <w:color w:val="000000"/>
          <w:sz w:val="20"/>
          <w:szCs w:val="20"/>
        </w:rPr>
        <w:t>主编，</w:t>
      </w:r>
      <w:r>
        <w:rPr>
          <w:rFonts w:hint="eastAsia" w:ascii="Times New Roman" w:eastAsiaTheme="majorEastAsia"/>
          <w:color w:val="000000"/>
          <w:sz w:val="20"/>
          <w:szCs w:val="20"/>
        </w:rPr>
        <w:t>武汉大学</w:t>
      </w:r>
      <w:r>
        <w:rPr>
          <w:rFonts w:ascii="Times New Roman" w:eastAsiaTheme="majorEastAsia"/>
          <w:color w:val="000000"/>
          <w:sz w:val="20"/>
          <w:szCs w:val="20"/>
        </w:rPr>
        <w:t>出版社，</w:t>
      </w:r>
      <w:r>
        <w:rPr>
          <w:rFonts w:ascii="Times New Roman" w:hAnsi="Times New Roman" w:eastAsiaTheme="majorEastAsia"/>
          <w:color w:val="000000"/>
          <w:sz w:val="20"/>
          <w:szCs w:val="20"/>
        </w:rPr>
        <w:t>2017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/>
          <w:color w:val="000000"/>
          <w:sz w:val="20"/>
          <w:szCs w:val="20"/>
        </w:rPr>
        <w:t>基础</w:t>
      </w:r>
      <w:r>
        <w:rPr>
          <w:rFonts w:ascii="Times New Roman"/>
          <w:color w:val="000000"/>
          <w:sz w:val="20"/>
          <w:szCs w:val="20"/>
        </w:rPr>
        <w:t>德语2，</w:t>
      </w:r>
      <w:r>
        <w:rPr>
          <w:rFonts w:ascii="Times New Roman" w:hAnsi="Times New Roman"/>
          <w:color w:val="000000"/>
          <w:sz w:val="20"/>
          <w:szCs w:val="20"/>
        </w:rPr>
        <w:t>2020408，</w:t>
      </w:r>
      <w:r>
        <w:rPr>
          <w:rFonts w:hint="eastAsia" w:asci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12</w:t>
      </w:r>
      <w:r>
        <w:rPr>
          <w:rFonts w:hint="eastAsia" w:ascii="Times New Roman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德语阅读是对基础德语课程的补充和提升，是高等学校德语专业基础阶段学生的必修课程。德语专业要求学生在低年级阶段掌握基本的阅读技巧，如快读跳读等，在规定的时间内阅读有一定长度要求的德语要求。该课程围绕不同的主题展开，每个主题包含不同的文章形式，系统地为学生讲解德国的报刊杂志、小说、散文、诗歌、寓言、采访录等体裁。内容涵盖经济、政治、教育、科技、饮食、体育、娱乐等诸多领域。课程旨在阅读不同的主题，培养学生课外自主阅读的兴趣和积极性，同时扩大词汇量，提升跨文化交际能力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Arial" w:hAnsi="Arial" w:cs="Arial"/>
          <w:color w:val="333333"/>
          <w:kern w:val="0"/>
          <w:szCs w:val="21"/>
        </w:rPr>
        <w:t>课程以调动学生阅读积极性为主，教师讲解为辅。目的在于培养学生掌握各种阅读方法，从而提高学生的阅读速度，逐步扩大学生的词汇量，吸收语言和文化背景知识，使学生能顺利阅读并正确理解一般题材及语言难度中等的文章。除此之外，阅读材料选取的是各个实用领域的文章，培养学生分析问题，解决问题的能力，还提高学生的人文，科学素养，培养健康向上的人生观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本课程适用于德语专业二年级学生。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theme="minorBidi"/>
          <w:sz w:val="24"/>
        </w:rPr>
      </w:pPr>
      <w:r>
        <w:rPr>
          <w:rFonts w:hint="eastAsia" w:ascii="黑体" w:hAnsi="宋体" w:eastAsia="黑体" w:cstheme="minorBidi"/>
          <w:sz w:val="24"/>
        </w:rPr>
        <w:t>四、课程与专业毕业要求的关联性</w:t>
      </w:r>
    </w:p>
    <w:tbl>
      <w:tblPr>
        <w:tblStyle w:val="5"/>
        <w:tblW w:w="84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6268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</w:tbl>
    <w:p>
      <w:pPr>
        <w:snapToGrid w:val="0"/>
        <w:spacing w:line="288" w:lineRule="auto"/>
        <w:rPr>
          <w:rFonts w:ascii="黑体" w:hAnsi="宋体" w:eastAsia="黑体" w:cstheme="minorBidi"/>
          <w:sz w:val="24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jc w:val="left"/>
        <w:rPr>
          <w:color w:val="FF0000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4"/>
        <w:gridCol w:w="2468"/>
        <w:gridCol w:w="219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掌握阅读的基本方法以及各类生词的处理技巧，了解阅读中常见的问题类型。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期末闭卷考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改善不良的阅读习惯，扩大词汇量，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期中闭卷考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L0712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提高学生的人文，科学素养，培养健康向上的人生观。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课后阅读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L0811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掌握不同主题中的背景知识，培养学生课外自主阅读的兴趣和积极性，同时提升跨文化交际能力。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课后阅读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大作业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Theme="minorHAnsi" w:hAnsiTheme="minorHAnsi" w:eastAsiaTheme="minorEastAsia" w:cstheme="minorBidi"/>
          <w:bCs/>
          <w:sz w:val="20"/>
          <w:szCs w:val="20"/>
        </w:rPr>
        <w:t>本课程总课时为</w:t>
      </w:r>
      <w:r>
        <w:rPr>
          <w:rFonts w:asciiTheme="minorHAnsi" w:hAnsiTheme="minorHAnsi" w:eastAsiaTheme="minorEastAsia" w:cstheme="minorBidi"/>
          <w:bCs/>
          <w:sz w:val="20"/>
          <w:szCs w:val="20"/>
        </w:rPr>
        <w:t>32</w:t>
      </w:r>
      <w:r>
        <w:rPr>
          <w:rFonts w:hint="eastAsia" w:asciiTheme="minorHAnsi" w:hAnsiTheme="minorHAnsi" w:eastAsiaTheme="minorEastAsia" w:cstheme="minorBidi"/>
          <w:bCs/>
          <w:sz w:val="20"/>
          <w:szCs w:val="20"/>
        </w:rPr>
        <w:t>学时，理论课时为</w:t>
      </w:r>
      <w:r>
        <w:rPr>
          <w:rFonts w:asciiTheme="minorHAnsi" w:hAnsiTheme="minorHAnsi" w:eastAsiaTheme="minorEastAsia" w:cstheme="minorBidi"/>
          <w:bCs/>
          <w:sz w:val="20"/>
          <w:szCs w:val="20"/>
        </w:rPr>
        <w:t>32</w:t>
      </w:r>
      <w:r>
        <w:rPr>
          <w:rFonts w:hint="eastAsia" w:asciiTheme="minorHAnsi" w:hAnsiTheme="minorHAnsi" w:eastAsiaTheme="minorEastAsia" w:cstheme="minorBidi"/>
          <w:bCs/>
          <w:sz w:val="20"/>
          <w:szCs w:val="20"/>
        </w:rPr>
        <w:t>学时，实践课时为</w:t>
      </w:r>
      <w:r>
        <w:rPr>
          <w:rFonts w:asciiTheme="minorHAnsi" w:hAnsiTheme="minorHAnsi" w:eastAsiaTheme="minorEastAsia" w:cstheme="minorBidi"/>
          <w:bCs/>
          <w:sz w:val="20"/>
          <w:szCs w:val="20"/>
        </w:rPr>
        <w:t>0</w:t>
      </w:r>
      <w:r>
        <w:rPr>
          <w:rFonts w:hint="eastAsia" w:asciiTheme="minorHAnsi" w:hAnsiTheme="minorHAnsi" w:eastAsiaTheme="minorEastAsia" w:cstheme="minorBidi"/>
          <w:bCs/>
          <w:sz w:val="20"/>
          <w:szCs w:val="20"/>
        </w:rPr>
        <w:t>学时。</w:t>
      </w:r>
    </w:p>
    <w:tbl>
      <w:tblPr>
        <w:tblStyle w:val="10"/>
        <w:tblW w:w="55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479"/>
        <w:gridCol w:w="3132"/>
        <w:gridCol w:w="116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理论课时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/</w:t>
            </w: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Einstieg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常见的阅读技能总体介绍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Essen und Trinken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德国的饮食文化，饮食习惯，德国的酒文化</w:t>
            </w:r>
          </w:p>
          <w:p>
            <w:pPr>
              <w:widowControl/>
              <w:spacing w:before="100" w:before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阅读技能：细读法1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知道常见的德国食品，掌握细读法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细读法1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Wohnen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主题内容：找租房，德国常见的居住形式以及青年旅社的起源</w:t>
            </w:r>
          </w:p>
          <w:p>
            <w:pPr>
              <w:widowControl/>
              <w:spacing w:before="100" w:beforeAutospacing="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阅读技能：细读法2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50" w:right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能看懂租房广告，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知道常见的德国居住形式，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掌握常用缩写词的含义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细读法2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Kaufen und Schenken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主题内容：购买与赠送等日常交际活动</w:t>
            </w:r>
          </w:p>
          <w:p>
            <w:pPr>
              <w:widowControl/>
              <w:spacing w:before="100" w:before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/>
                <w:kern w:val="0"/>
                <w:sz w:val="20"/>
                <w:szCs w:val="20"/>
              </w:rPr>
              <w:t>阅读方法的综合运用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掌握购买与赠送交际场景下的常用会话，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能够综合运用阅读方法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阅读方法的综合运用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Freizeit und Ferien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德国的节假日以及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德国人的业余时间，典型德国人如何度假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/>
                <w:kern w:val="0"/>
                <w:sz w:val="20"/>
                <w:szCs w:val="20"/>
              </w:rPr>
              <w:t>生词的处理方法（一）：分析生词的构成类型；国际性词汇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了解德国的常见节假日，掌握两种生词处理方法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生词的处理方法（一）：分析生词的构成类型；国际性词汇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örper und Gesundheit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主题内容：德国人的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健康观，德国普遍对抗身体疾病的态度，常用方法</w:t>
            </w:r>
          </w:p>
          <w:p>
            <w:pPr>
              <w:widowControl/>
              <w:spacing w:before="100" w:before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/>
                <w:kern w:val="0"/>
                <w:sz w:val="20"/>
                <w:szCs w:val="20"/>
              </w:rPr>
              <w:t>生词的处理方法（二）：构词法；上下文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掌握看病交际场景下的常用会话，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掌握两种生词处理方法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生词的处理方法（二）：构词法；上下文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Deutschland und Europa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德国的地理位置，德国和其它欧洲国家的差异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扩大词汇量的学习方法（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一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）词的搭配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了解德国的地理位置，气候类型，掌握词的搭配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扩大词汇量的学习方法（二）：词的搭配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Deutsche und Ausländer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德国人的形象特征及其对外国人的态度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扩大词汇量的学习方法（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二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）词的语用含义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知道德国人的形象特征，掌握词的语用含义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扩大词汇量的学习方法（三）词的语用含义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Märchen und Geschichten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德国童话与德国历史</w:t>
            </w:r>
          </w:p>
          <w:p>
            <w:pPr>
              <w:widowControl/>
              <w:rPr>
                <w:rFonts w:ascii="Times New Roman" w:hAnsi="Times New Roman" w:eastAsiaTheme="minorEastAsia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/>
                <w:kern w:val="0"/>
                <w:sz w:val="20"/>
                <w:szCs w:val="20"/>
              </w:rPr>
              <w:t>阅读中常见的文体类型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知道几则著名德国童话，了解德国历史，了解</w:t>
            </w:r>
            <w:r>
              <w:rPr>
                <w:rFonts w:hint="eastAsia"/>
                <w:kern w:val="0"/>
                <w:sz w:val="20"/>
                <w:szCs w:val="20"/>
              </w:rPr>
              <w:t>阅读中常见的文体类型及其对应的阅读方式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阅读中常见的文体类型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kern w:val="0"/>
                <w:sz w:val="20"/>
                <w:szCs w:val="20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bookmarkStart w:id="2" w:name="_Hlk81774265"/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Menschen und Städte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德国著名的城市和名人</w:t>
            </w:r>
          </w:p>
          <w:p>
            <w:pPr>
              <w:spacing w:line="288" w:lineRule="auto"/>
              <w:rPr>
                <w:rFonts w:ascii="Times New Roman" w:hAnsi="Times New Roman" w:eastAsiaTheme="minorEastAsia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篇章内部的衔接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知道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德国著名的城市和名人，了解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篇章内部的衔接的基本方式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篇章内部的衔接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Computer und Internet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电脑与网络</w:t>
            </w:r>
          </w:p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难句的解析方法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知道电脑与网络等新兴话题，掌握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难句的解析方法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难句的解析方法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bookmarkStart w:id="3" w:name="_Hlk81774316"/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</w:rPr>
              <w:t>Beruf und Arbeit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主题内容：理想职业以及求职信</w:t>
            </w:r>
          </w:p>
          <w:p>
            <w:pPr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阅读技能：划线法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了解各种职业以及求职信的组成部分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关键词句划线法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>Studium und Studierende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德国的教育制度及德国学生的学习生涯</w:t>
            </w:r>
          </w:p>
          <w:p>
            <w:pPr>
              <w:widowControl/>
              <w:spacing w:before="100" w:beforeAutospacing="1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阅读技能：培养计时阅读的习惯，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提高阅读速度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宋体"/>
                <w:kern w:val="0"/>
                <w:sz w:val="20"/>
                <w:szCs w:val="20"/>
              </w:rPr>
              <w:t>了解德国的教育制度，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培养计时阅读的习惯，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提高阅读速度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提高阅读速度的方法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de-DE"/>
              </w:rPr>
              <w:t>Feste</w:t>
            </w: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de-DE"/>
              </w:rPr>
              <w:t>und</w:t>
            </w:r>
            <w:r>
              <w:rPr>
                <w:rFonts w:ascii="Times New Roman" w:hAnsi="Times New Roman" w:eastAsia="黑体"/>
                <w:kern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0"/>
                <w:szCs w:val="20"/>
                <w:lang w:val="de-DE"/>
              </w:rPr>
              <w:t>Feiertage</w:t>
            </w:r>
          </w:p>
        </w:tc>
        <w:tc>
          <w:tcPr>
            <w:tcW w:w="1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主题内容：</w:t>
            </w:r>
            <w:r>
              <w:rPr>
                <w:rFonts w:hint="eastAsia" w:ascii="Times New Roman" w:hAnsi="Times New Roman"/>
                <w:sz w:val="20"/>
                <w:szCs w:val="20"/>
                <w:lang w:val="de-DE"/>
              </w:rPr>
              <w:t>节假日</w:t>
            </w:r>
          </w:p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阅读技能：词汇的多层含义辨析</w:t>
            </w:r>
          </w:p>
        </w:tc>
        <w:tc>
          <w:tcPr>
            <w:tcW w:w="1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了解复活节的来历和习俗</w:t>
            </w:r>
          </w:p>
          <w:p>
            <w:pPr>
              <w:spacing w:line="288" w:lineRule="auto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0"/>
                <w:szCs w:val="20"/>
                <w:lang w:val="de-DE"/>
              </w:rPr>
              <w:t>掌握词汇的多层含义辨析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词汇的多层含义辨析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2/0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margin" w:tblpY="37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课堂表现、出勤率、平时作业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期中闭卷考试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206375</wp:posOffset>
            </wp:positionV>
            <wp:extent cx="878840" cy="433705"/>
            <wp:effectExtent l="0" t="0" r="0" b="0"/>
            <wp:wrapNone/>
            <wp:docPr id="1" name="图片 1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af2878adceae169a33faa579171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677545" cy="505460"/>
            <wp:effectExtent l="0" t="0" r="825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审核时间：2022.09.23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06561"/>
    <w:rsid w:val="000575DF"/>
    <w:rsid w:val="0007362F"/>
    <w:rsid w:val="00075769"/>
    <w:rsid w:val="00166DBD"/>
    <w:rsid w:val="001C5084"/>
    <w:rsid w:val="001D39FB"/>
    <w:rsid w:val="001F4A01"/>
    <w:rsid w:val="00220F94"/>
    <w:rsid w:val="00256B39"/>
    <w:rsid w:val="0026033C"/>
    <w:rsid w:val="00272812"/>
    <w:rsid w:val="002C2FD7"/>
    <w:rsid w:val="002E3721"/>
    <w:rsid w:val="002E554A"/>
    <w:rsid w:val="002F1A16"/>
    <w:rsid w:val="00313BBA"/>
    <w:rsid w:val="0032602E"/>
    <w:rsid w:val="003367AE"/>
    <w:rsid w:val="00371E53"/>
    <w:rsid w:val="003B1E0F"/>
    <w:rsid w:val="003B5EF0"/>
    <w:rsid w:val="003F4483"/>
    <w:rsid w:val="004100B0"/>
    <w:rsid w:val="00414616"/>
    <w:rsid w:val="00441729"/>
    <w:rsid w:val="004F470A"/>
    <w:rsid w:val="005064C4"/>
    <w:rsid w:val="005467DC"/>
    <w:rsid w:val="00553D03"/>
    <w:rsid w:val="005820E3"/>
    <w:rsid w:val="005B2B6D"/>
    <w:rsid w:val="005B4B4E"/>
    <w:rsid w:val="005C1DE1"/>
    <w:rsid w:val="005E16E3"/>
    <w:rsid w:val="00624FE1"/>
    <w:rsid w:val="0064691A"/>
    <w:rsid w:val="00661784"/>
    <w:rsid w:val="00665A84"/>
    <w:rsid w:val="006A23F3"/>
    <w:rsid w:val="007208D6"/>
    <w:rsid w:val="00760D2D"/>
    <w:rsid w:val="007630D1"/>
    <w:rsid w:val="00780BD1"/>
    <w:rsid w:val="007968C1"/>
    <w:rsid w:val="00854BED"/>
    <w:rsid w:val="008B397C"/>
    <w:rsid w:val="008B47F4"/>
    <w:rsid w:val="00900019"/>
    <w:rsid w:val="0094761A"/>
    <w:rsid w:val="00963B0A"/>
    <w:rsid w:val="0099063E"/>
    <w:rsid w:val="0099572E"/>
    <w:rsid w:val="009D6DC9"/>
    <w:rsid w:val="00A34A99"/>
    <w:rsid w:val="00A90298"/>
    <w:rsid w:val="00B229A3"/>
    <w:rsid w:val="00B35B8A"/>
    <w:rsid w:val="00B511A5"/>
    <w:rsid w:val="00B7651F"/>
    <w:rsid w:val="00B8267C"/>
    <w:rsid w:val="00BD1CF1"/>
    <w:rsid w:val="00C56E09"/>
    <w:rsid w:val="00C721FD"/>
    <w:rsid w:val="00C8514D"/>
    <w:rsid w:val="00CF7EE0"/>
    <w:rsid w:val="00D02C81"/>
    <w:rsid w:val="00D54B45"/>
    <w:rsid w:val="00E0665E"/>
    <w:rsid w:val="00E16D30"/>
    <w:rsid w:val="00E31588"/>
    <w:rsid w:val="00E33169"/>
    <w:rsid w:val="00E355EE"/>
    <w:rsid w:val="00E40740"/>
    <w:rsid w:val="00E55F0A"/>
    <w:rsid w:val="00E7050E"/>
    <w:rsid w:val="00E70904"/>
    <w:rsid w:val="00E95D31"/>
    <w:rsid w:val="00EE1EFB"/>
    <w:rsid w:val="00EF44B1"/>
    <w:rsid w:val="00F23C16"/>
    <w:rsid w:val="00F31962"/>
    <w:rsid w:val="00F35AA0"/>
    <w:rsid w:val="00F44004"/>
    <w:rsid w:val="00F75C78"/>
    <w:rsid w:val="00F8558F"/>
    <w:rsid w:val="00FF2C61"/>
    <w:rsid w:val="024B0C39"/>
    <w:rsid w:val="04AD575C"/>
    <w:rsid w:val="06CD4C74"/>
    <w:rsid w:val="06E51171"/>
    <w:rsid w:val="07910517"/>
    <w:rsid w:val="089608E6"/>
    <w:rsid w:val="1252010C"/>
    <w:rsid w:val="164D729F"/>
    <w:rsid w:val="169A2AF1"/>
    <w:rsid w:val="170C74B4"/>
    <w:rsid w:val="24192CCC"/>
    <w:rsid w:val="2B21391A"/>
    <w:rsid w:val="389B6B23"/>
    <w:rsid w:val="3CD52CE1"/>
    <w:rsid w:val="3D3C55B6"/>
    <w:rsid w:val="41736F2E"/>
    <w:rsid w:val="4C653F3E"/>
    <w:rsid w:val="53292A14"/>
    <w:rsid w:val="54403EBF"/>
    <w:rsid w:val="54875D3D"/>
    <w:rsid w:val="5C6C6D65"/>
    <w:rsid w:val="5D7E762B"/>
    <w:rsid w:val="5E337FF2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qFormat/>
    <w:uiPriority w:val="0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2893</Words>
  <Characters>3369</Characters>
  <Lines>26</Lines>
  <Paragraphs>7</Paragraphs>
  <TotalTime>1</TotalTime>
  <ScaleCrop>false</ScaleCrop>
  <LinksUpToDate>false</LinksUpToDate>
  <CharactersWithSpaces>3417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2021-09-04T06:13:00Z</dcterms:created>
  <dc:creator>juvg</dc:creator>
  <cp:lastModifiedBy>Administrator</cp:lastModifiedBy>
  <dcterms:modified xsi:type="dcterms:W3CDTF">2022-11-29T04:11:29Z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54DEE0E3F319445BB933A76FD6964F6A</vt:lpwstr>
  </property>
</Properties>
</file>