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28"/>
          <w:szCs w:val="30"/>
        </w:rPr>
      </w:pPr>
      <w:r>
        <w:rPr>
          <w:rFonts w:hint="eastAsia"/>
          <w:b/>
          <w:sz w:val="28"/>
          <w:szCs w:val="30"/>
        </w:rPr>
        <w:t>【大学英语（</w:t>
      </w:r>
      <w:r>
        <w:rPr>
          <w:rFonts w:hint="eastAsia"/>
          <w:b/>
          <w:sz w:val="28"/>
          <w:szCs w:val="30"/>
          <w:lang w:val="en-US" w:eastAsia="zh-CN"/>
        </w:rPr>
        <w:t>4</w:t>
      </w:r>
      <w:r>
        <w:rPr>
          <w:rFonts w:hint="eastAsia"/>
          <w:b/>
          <w:sz w:val="28"/>
          <w:szCs w:val="30"/>
        </w:rPr>
        <w:t>）】</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b/>
          <w:sz w:val="28"/>
          <w:szCs w:val="30"/>
        </w:rPr>
        <w:t xml:space="preserve">College English (Band </w:t>
      </w:r>
      <w:r>
        <w:rPr>
          <w:rFonts w:hint="eastAsia"/>
          <w:b/>
          <w:sz w:val="28"/>
          <w:szCs w:val="30"/>
          <w:lang w:val="en-US" w:eastAsia="zh-CN"/>
        </w:rPr>
        <w:t>4</w:t>
      </w:r>
      <w:r>
        <w:rPr>
          <w:b/>
          <w:sz w:val="28"/>
          <w:szCs w:val="30"/>
        </w:rPr>
        <w:t>)</w:t>
      </w:r>
      <w:r>
        <w:rPr>
          <w:rFonts w:hint="eastAsia"/>
          <w:b/>
          <w:sz w:val="28"/>
          <w:szCs w:val="30"/>
        </w:rPr>
        <w:t>】</w:t>
      </w:r>
      <w:bookmarkStart w:id="0" w:name="a2"/>
      <w:bookmarkEnd w:id="0"/>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rFonts w:hint="eastAsia"/>
          <w:b/>
          <w:bCs/>
          <w:color w:val="000000"/>
          <w:sz w:val="20"/>
          <w:szCs w:val="20"/>
        </w:rPr>
        <w:t>课程代码：</w:t>
      </w:r>
      <w:r>
        <w:rPr>
          <w:rFonts w:hint="eastAsia"/>
          <w:color w:val="000000"/>
          <w:sz w:val="20"/>
          <w:szCs w:val="20"/>
        </w:rPr>
        <w:t>【2020015】</w:t>
      </w:r>
    </w:p>
    <w:p>
      <w:pPr>
        <w:snapToGrid w:val="0"/>
        <w:spacing w:line="288" w:lineRule="auto"/>
        <w:ind w:firstLine="394" w:firstLineChars="196"/>
        <w:rPr>
          <w:color w:val="000000"/>
          <w:szCs w:val="21"/>
        </w:rPr>
      </w:pPr>
      <w:r>
        <w:rPr>
          <w:rFonts w:hint="eastAsia"/>
          <w:b/>
          <w:bCs/>
          <w:color w:val="000000"/>
          <w:sz w:val="20"/>
          <w:szCs w:val="20"/>
        </w:rPr>
        <w:t>课程学分：</w:t>
      </w:r>
      <w:r>
        <w:rPr>
          <w:rFonts w:hint="eastAsia"/>
          <w:color w:val="000000"/>
          <w:sz w:val="20"/>
          <w:szCs w:val="20"/>
        </w:rPr>
        <w:t>【</w:t>
      </w:r>
      <w:r>
        <w:rPr>
          <w:color w:val="000000"/>
          <w:sz w:val="20"/>
          <w:szCs w:val="20"/>
        </w:rPr>
        <w:t>4</w:t>
      </w:r>
      <w:r>
        <w:rPr>
          <w:rFonts w:hint="eastAsia"/>
          <w:color w:val="000000"/>
          <w:sz w:val="20"/>
          <w:szCs w:val="20"/>
        </w:rPr>
        <w:t>】</w:t>
      </w:r>
    </w:p>
    <w:p>
      <w:pPr>
        <w:snapToGrid w:val="0"/>
        <w:spacing w:line="288" w:lineRule="auto"/>
        <w:ind w:firstLine="394" w:firstLineChars="196"/>
        <w:rPr>
          <w:color w:val="000000"/>
          <w:szCs w:val="21"/>
        </w:rPr>
      </w:pPr>
      <w:r>
        <w:rPr>
          <w:rFonts w:hint="eastAsia"/>
          <w:b/>
          <w:bCs/>
          <w:color w:val="000000"/>
          <w:sz w:val="20"/>
          <w:szCs w:val="20"/>
        </w:rPr>
        <w:t>面向专业：</w:t>
      </w:r>
      <w:r>
        <w:rPr>
          <w:rFonts w:hint="eastAsia"/>
          <w:sz w:val="20"/>
          <w:szCs w:val="20"/>
        </w:rPr>
        <w:t>【</w:t>
      </w:r>
      <w:r>
        <w:rPr>
          <w:rFonts w:hint="eastAsia" w:ascii="宋体" w:hAnsi="宋体"/>
          <w:sz w:val="20"/>
          <w:szCs w:val="20"/>
        </w:rPr>
        <w:t>17级本科各相关专业</w:t>
      </w:r>
      <w:r>
        <w:rPr>
          <w:rFonts w:hint="eastAsia" w:ascii="宋体" w:hAnsi="宋体"/>
          <w:sz w:val="20"/>
          <w:szCs w:val="20"/>
          <w:lang w:val="en-US" w:eastAsia="zh-CN"/>
        </w:rPr>
        <w:t xml:space="preserve"> B级</w:t>
      </w:r>
      <w:r>
        <w:rPr>
          <w:rFonts w:hint="eastAsia"/>
          <w:sz w:val="20"/>
          <w:szCs w:val="20"/>
        </w:rPr>
        <w:t>】</w:t>
      </w:r>
    </w:p>
    <w:p>
      <w:pPr>
        <w:snapToGrid w:val="0"/>
        <w:spacing w:line="288" w:lineRule="auto"/>
        <w:ind w:firstLine="394" w:firstLineChars="196"/>
        <w:rPr>
          <w:sz w:val="20"/>
          <w:szCs w:val="20"/>
        </w:rPr>
      </w:pPr>
      <w:r>
        <w:rPr>
          <w:rFonts w:hint="eastAsia"/>
          <w:b/>
          <w:bCs/>
          <w:sz w:val="20"/>
          <w:szCs w:val="20"/>
        </w:rPr>
        <w:t>课程性质：</w:t>
      </w:r>
      <w:r>
        <w:rPr>
          <w:rFonts w:hint="eastAsia"/>
          <w:sz w:val="20"/>
          <w:szCs w:val="20"/>
        </w:rPr>
        <w:t>【通识教育必修课】</w:t>
      </w:r>
    </w:p>
    <w:p>
      <w:pPr>
        <w:snapToGrid w:val="0"/>
        <w:spacing w:line="288" w:lineRule="auto"/>
        <w:ind w:firstLine="394" w:firstLineChars="196"/>
        <w:rPr>
          <w:b/>
          <w:bCs/>
          <w:color w:val="000000"/>
          <w:szCs w:val="21"/>
        </w:rPr>
      </w:pPr>
      <w:r>
        <w:rPr>
          <w:rFonts w:hint="eastAsia"/>
          <w:b/>
          <w:bCs/>
          <w:color w:val="000000"/>
          <w:sz w:val="20"/>
          <w:szCs w:val="20"/>
        </w:rPr>
        <w:t>开课院系：外国语学院</w:t>
      </w:r>
    </w:p>
    <w:p>
      <w:pPr>
        <w:spacing w:line="288" w:lineRule="auto"/>
        <w:ind w:left="2206" w:leftChars="190" w:hanging="1807" w:hangingChars="900"/>
        <w:rPr>
          <w:sz w:val="20"/>
          <w:szCs w:val="20"/>
        </w:rPr>
      </w:pPr>
      <w:r>
        <w:rPr>
          <w:rFonts w:hint="eastAsia"/>
          <w:b/>
          <w:bCs/>
          <w:sz w:val="20"/>
          <w:szCs w:val="20"/>
        </w:rPr>
        <w:t>使用教材：</w:t>
      </w:r>
      <w:r>
        <w:rPr>
          <w:rFonts w:hint="eastAsia"/>
          <w:sz w:val="20"/>
          <w:szCs w:val="20"/>
        </w:rPr>
        <w:t>主教材：【《全新版大学进阶英语综合教程3》</w:t>
      </w:r>
      <w:r>
        <w:rPr>
          <w:sz w:val="20"/>
          <w:szCs w:val="20"/>
        </w:rPr>
        <w:t>，</w:t>
      </w:r>
      <w:r>
        <w:rPr>
          <w:rFonts w:hint="eastAsia"/>
          <w:sz w:val="20"/>
          <w:szCs w:val="20"/>
        </w:rPr>
        <w:t>李荫华，季佩英，冯豫等主编，</w:t>
      </w:r>
      <w:r>
        <w:rPr>
          <w:sz w:val="20"/>
          <w:szCs w:val="20"/>
        </w:rPr>
        <w:t>上海外语教育出版社，201</w:t>
      </w:r>
      <w:r>
        <w:rPr>
          <w:rFonts w:hint="eastAsia"/>
          <w:sz w:val="20"/>
          <w:szCs w:val="20"/>
        </w:rPr>
        <w:t>7】</w:t>
      </w:r>
    </w:p>
    <w:p>
      <w:pPr>
        <w:spacing w:line="288" w:lineRule="auto"/>
        <w:ind w:firstLine="2200" w:firstLineChars="1100"/>
        <w:rPr>
          <w:sz w:val="20"/>
          <w:szCs w:val="20"/>
        </w:rPr>
      </w:pPr>
      <w:r>
        <w:rPr>
          <w:rFonts w:hint="eastAsia"/>
          <w:sz w:val="20"/>
          <w:szCs w:val="20"/>
        </w:rPr>
        <w:t>【《大学英语听说教程3》，陈向京等主编，2017】</w:t>
      </w:r>
    </w:p>
    <w:p>
      <w:pPr>
        <w:spacing w:line="288" w:lineRule="auto"/>
        <w:ind w:left="2418" w:leftChars="342" w:hanging="1700" w:hangingChars="850"/>
        <w:rPr>
          <w:sz w:val="20"/>
          <w:szCs w:val="20"/>
        </w:rPr>
      </w:pPr>
      <w:r>
        <w:rPr>
          <w:sz w:val="20"/>
          <w:szCs w:val="20"/>
        </w:rPr>
        <w:t xml:space="preserve">       </w:t>
      </w:r>
      <w:r>
        <w:rPr>
          <w:rFonts w:hint="eastAsia"/>
          <w:sz w:val="20"/>
          <w:szCs w:val="20"/>
        </w:rPr>
        <w:t>辅助教材：</w:t>
      </w:r>
      <w:r>
        <w:rPr>
          <w:rFonts w:hint="eastAsia"/>
          <w:b/>
          <w:bCs/>
          <w:sz w:val="20"/>
          <w:szCs w:val="20"/>
        </w:rPr>
        <w:t>【</w:t>
      </w:r>
      <w:r>
        <w:rPr>
          <w:rFonts w:hint="eastAsia"/>
          <w:sz w:val="20"/>
          <w:szCs w:val="20"/>
        </w:rPr>
        <w:t>《新视野大学英语长篇阅读（3）》，郑树棠主编，外语教学与研究出版社，</w:t>
      </w:r>
      <w:r>
        <w:rPr>
          <w:sz w:val="20"/>
          <w:szCs w:val="20"/>
        </w:rPr>
        <w:t>201</w:t>
      </w:r>
      <w:r>
        <w:rPr>
          <w:rFonts w:hint="eastAsia"/>
          <w:sz w:val="20"/>
          <w:szCs w:val="20"/>
        </w:rPr>
        <w:t>5】</w:t>
      </w:r>
      <w:r>
        <w:rPr>
          <w:sz w:val="20"/>
          <w:szCs w:val="20"/>
        </w:rPr>
        <w:t xml:space="preserve">  </w:t>
      </w:r>
    </w:p>
    <w:p>
      <w:pPr>
        <w:spacing w:line="288" w:lineRule="auto"/>
        <w:ind w:left="2414" w:leftChars="1102" w:hanging="100" w:hangingChars="50"/>
        <w:rPr>
          <w:sz w:val="20"/>
          <w:szCs w:val="20"/>
        </w:rPr>
      </w:pPr>
      <w:r>
        <w:rPr>
          <w:rFonts w:hint="eastAsia"/>
          <w:sz w:val="20"/>
          <w:szCs w:val="20"/>
        </w:rPr>
        <w:t>【《全新版大学进阶英语综合教程3综合训练》</w:t>
      </w:r>
      <w:r>
        <w:rPr>
          <w:sz w:val="20"/>
          <w:szCs w:val="20"/>
        </w:rPr>
        <w:t>，</w:t>
      </w:r>
      <w:r>
        <w:rPr>
          <w:rFonts w:hint="eastAsia"/>
          <w:sz w:val="20"/>
          <w:szCs w:val="20"/>
        </w:rPr>
        <w:t>冯豫主编，</w:t>
      </w:r>
      <w:r>
        <w:rPr>
          <w:sz w:val="20"/>
          <w:szCs w:val="20"/>
        </w:rPr>
        <w:t>上海外语教育出版社，201</w:t>
      </w:r>
      <w:r>
        <w:rPr>
          <w:rFonts w:hint="eastAsia"/>
          <w:sz w:val="20"/>
          <w:szCs w:val="20"/>
        </w:rPr>
        <w:t>7】</w:t>
      </w:r>
      <w:r>
        <w:rPr>
          <w:sz w:val="20"/>
          <w:szCs w:val="20"/>
        </w:rPr>
        <w:t xml:space="preserve">              </w:t>
      </w:r>
    </w:p>
    <w:p>
      <w:pPr>
        <w:spacing w:line="288" w:lineRule="auto"/>
        <w:ind w:left="2218" w:leftChars="342" w:hanging="1500" w:hangingChars="750"/>
        <w:rPr>
          <w:sz w:val="20"/>
          <w:szCs w:val="20"/>
        </w:rPr>
      </w:pPr>
      <w:r>
        <w:rPr>
          <w:sz w:val="20"/>
          <w:szCs w:val="20"/>
        </w:rPr>
        <w:t xml:space="preserve">       </w:t>
      </w:r>
      <w:r>
        <w:rPr>
          <w:rFonts w:hint="eastAsia"/>
          <w:sz w:val="20"/>
          <w:szCs w:val="20"/>
        </w:rPr>
        <w:t>参考教材：</w:t>
      </w:r>
      <w:r>
        <w:rPr>
          <w:rFonts w:hint="eastAsia"/>
          <w:b/>
          <w:bCs/>
          <w:sz w:val="20"/>
          <w:szCs w:val="20"/>
        </w:rPr>
        <w:t>【</w:t>
      </w:r>
      <w:r>
        <w:rPr>
          <w:rFonts w:hint="eastAsia"/>
          <w:sz w:val="20"/>
          <w:szCs w:val="20"/>
        </w:rPr>
        <w:t>《大学英语语法手册》，张成袆主编，上海外语教育出版社，</w:t>
      </w:r>
      <w:r>
        <w:rPr>
          <w:sz w:val="20"/>
          <w:szCs w:val="20"/>
        </w:rPr>
        <w:t>2004</w:t>
      </w:r>
      <w:r>
        <w:rPr>
          <w:rFonts w:hint="eastAsia"/>
          <w:kern w:val="0"/>
          <w:sz w:val="20"/>
          <w:szCs w:val="20"/>
        </w:rPr>
        <w:t>】</w:t>
      </w:r>
      <w:r>
        <w:rPr>
          <w:kern w:val="0"/>
          <w:sz w:val="20"/>
          <w:szCs w:val="20"/>
        </w:rPr>
        <w:t xml:space="preserve">                </w:t>
      </w:r>
      <w:r>
        <w:rPr>
          <w:b/>
          <w:bCs/>
          <w:sz w:val="20"/>
          <w:szCs w:val="20"/>
        </w:rPr>
        <w:t xml:space="preserve">                </w:t>
      </w:r>
    </w:p>
    <w:p>
      <w:pPr>
        <w:spacing w:line="288" w:lineRule="auto"/>
        <w:ind w:firstLine="394" w:firstLineChars="196"/>
        <w:rPr>
          <w:sz w:val="20"/>
          <w:szCs w:val="20"/>
        </w:rPr>
      </w:pPr>
      <w:r>
        <w:rPr>
          <w:rFonts w:hint="eastAsia"/>
          <w:b/>
          <w:bCs/>
          <w:sz w:val="20"/>
          <w:szCs w:val="20"/>
        </w:rPr>
        <w:t>课程网站网址：    【</w:t>
      </w:r>
      <w:r>
        <w:rPr>
          <w:rFonts w:hint="eastAsia"/>
          <w:sz w:val="20"/>
          <w:szCs w:val="20"/>
        </w:rPr>
        <w:t>上海外语教育出版社</w:t>
      </w:r>
      <w:r>
        <w:fldChar w:fldCharType="begin"/>
      </w:r>
      <w:r>
        <w:instrText xml:space="preserve"> HYPERLINK "http://www.sflep.com.cn/" </w:instrText>
      </w:r>
      <w:r>
        <w:fldChar w:fldCharType="separate"/>
      </w:r>
      <w:r>
        <w:rPr>
          <w:rStyle w:val="7"/>
          <w:sz w:val="20"/>
          <w:szCs w:val="20"/>
        </w:rPr>
        <w:t>http://www.sflep.com.cn/</w:t>
      </w:r>
      <w:r>
        <w:rPr>
          <w:rStyle w:val="7"/>
          <w:sz w:val="20"/>
          <w:szCs w:val="20"/>
        </w:rPr>
        <w:fldChar w:fldCharType="end"/>
      </w:r>
    </w:p>
    <w:p>
      <w:pPr>
        <w:spacing w:line="288" w:lineRule="auto"/>
        <w:ind w:firstLine="400" w:firstLineChars="200"/>
        <w:rPr>
          <w:sz w:val="20"/>
          <w:szCs w:val="20"/>
        </w:rPr>
      </w:pPr>
      <w:r>
        <w:rPr>
          <w:sz w:val="20"/>
          <w:szCs w:val="20"/>
        </w:rPr>
        <w:t xml:space="preserve">                   </w:t>
      </w:r>
      <w:r>
        <w:fldChar w:fldCharType="begin"/>
      </w:r>
      <w:r>
        <w:instrText xml:space="preserve"> HYPERLINK "http://www.sflep.com.cn/" </w:instrText>
      </w:r>
      <w:r>
        <w:fldChar w:fldCharType="separate"/>
      </w:r>
      <w:r>
        <w:rPr>
          <w:rFonts w:hint="eastAsia"/>
          <w:sz w:val="20"/>
          <w:szCs w:val="20"/>
        </w:rPr>
        <w:t>中国外语网</w:t>
      </w:r>
      <w:r>
        <w:rPr>
          <w:sz w:val="20"/>
          <w:szCs w:val="20"/>
        </w:rPr>
        <w:t xml:space="preserve"> </w:t>
      </w:r>
      <w:r>
        <w:rPr>
          <w:sz w:val="20"/>
          <w:szCs w:val="20"/>
        </w:rPr>
        <w:fldChar w:fldCharType="end"/>
      </w:r>
    </w:p>
    <w:p>
      <w:pPr>
        <w:spacing w:line="288" w:lineRule="auto"/>
        <w:ind w:firstLine="2209" w:firstLineChars="1100"/>
        <w:rPr>
          <w:sz w:val="20"/>
          <w:szCs w:val="20"/>
        </w:rPr>
      </w:pPr>
      <w:r>
        <w:rPr>
          <w:rFonts w:hint="eastAsia"/>
          <w:b/>
          <w:bCs/>
          <w:sz w:val="20"/>
          <w:szCs w:val="20"/>
        </w:rPr>
        <w:t>【</w:t>
      </w:r>
      <w:r>
        <w:rPr>
          <w:rFonts w:hint="eastAsia"/>
          <w:sz w:val="20"/>
          <w:szCs w:val="20"/>
        </w:rPr>
        <w:t>外语教学与研究出版社</w:t>
      </w:r>
      <w:r>
        <w:fldChar w:fldCharType="begin"/>
      </w:r>
      <w:r>
        <w:instrText xml:space="preserve"> HYPERLINK "http://www.fltrp.com/" </w:instrText>
      </w:r>
      <w:r>
        <w:fldChar w:fldCharType="separate"/>
      </w:r>
      <w:r>
        <w:rPr>
          <w:rStyle w:val="7"/>
          <w:sz w:val="20"/>
          <w:szCs w:val="20"/>
        </w:rPr>
        <w:t>http://www.fltrp.com/</w:t>
      </w:r>
      <w:r>
        <w:rPr>
          <w:rStyle w:val="7"/>
          <w:sz w:val="20"/>
          <w:szCs w:val="20"/>
        </w:rPr>
        <w:fldChar w:fldCharType="end"/>
      </w:r>
      <w:r>
        <w:rPr>
          <w:rFonts w:hint="eastAsia"/>
          <w:kern w:val="0"/>
          <w:sz w:val="20"/>
          <w:szCs w:val="20"/>
        </w:rPr>
        <w:t>】</w:t>
      </w:r>
    </w:p>
    <w:p>
      <w:pPr>
        <w:snapToGrid w:val="0"/>
        <w:spacing w:line="288" w:lineRule="auto"/>
        <w:ind w:firstLine="392" w:firstLineChars="196"/>
        <w:rPr>
          <w:color w:val="000000"/>
          <w:sz w:val="20"/>
          <w:szCs w:val="20"/>
          <w:highlight w:val="yellow"/>
        </w:rPr>
      </w:pPr>
    </w:p>
    <w:p>
      <w:pPr>
        <w:adjustRightInd w:val="0"/>
        <w:snapToGrid w:val="0"/>
        <w:spacing w:line="288" w:lineRule="auto"/>
        <w:ind w:firstLine="394" w:firstLineChars="196"/>
        <w:rPr>
          <w:color w:val="000000"/>
          <w:sz w:val="20"/>
          <w:szCs w:val="20"/>
        </w:rPr>
      </w:pPr>
      <w:r>
        <w:rPr>
          <w:rFonts w:hint="eastAsia"/>
          <w:b/>
          <w:bCs/>
          <w:sz w:val="20"/>
          <w:szCs w:val="20"/>
        </w:rPr>
        <w:t>先修课程：【</w:t>
      </w:r>
      <w:r>
        <w:rPr>
          <w:rFonts w:hint="eastAsia"/>
          <w:sz w:val="20"/>
          <w:szCs w:val="20"/>
        </w:rPr>
        <w:t>大学英语3，</w:t>
      </w:r>
      <w:r>
        <w:rPr>
          <w:kern w:val="0"/>
          <w:sz w:val="20"/>
          <w:szCs w:val="20"/>
        </w:rPr>
        <w:t>2020231</w:t>
      </w:r>
      <w:r>
        <w:rPr>
          <w:rFonts w:hint="eastAsia"/>
          <w:kern w:val="0"/>
          <w:sz w:val="20"/>
          <w:szCs w:val="20"/>
        </w:rPr>
        <w:t>，</w:t>
      </w:r>
      <w:r>
        <w:rPr>
          <w:kern w:val="0"/>
          <w:sz w:val="20"/>
          <w:szCs w:val="20"/>
        </w:rPr>
        <w:t>4</w:t>
      </w:r>
      <w:r>
        <w:rPr>
          <w:rFonts w:hint="eastAsia"/>
          <w:kern w:val="0"/>
          <w:sz w:val="20"/>
          <w:szCs w:val="20"/>
        </w:rPr>
        <w:t>】</w:t>
      </w:r>
    </w:p>
    <w:p>
      <w:pPr>
        <w:adjustRightInd w:val="0"/>
        <w:snapToGrid w:val="0"/>
        <w:spacing w:before="156" w:beforeLines="50" w:after="156" w:afterLines="50" w:line="288" w:lineRule="auto"/>
        <w:ind w:firstLine="348" w:firstLineChars="145"/>
        <w:rPr>
          <w:rFonts w:ascii="黑体" w:hAnsi="宋体" w:eastAsia="黑体"/>
          <w:sz w:val="24"/>
        </w:rPr>
      </w:pPr>
    </w:p>
    <w:p>
      <w:pPr>
        <w:adjustRightInd w:val="0"/>
        <w:snapToGrid w:val="0"/>
        <w:spacing w:before="156" w:beforeLines="50" w:after="156" w:afterLines="50" w:line="288" w:lineRule="auto"/>
        <w:ind w:firstLine="348" w:firstLineChars="145"/>
        <w:rPr>
          <w:rFonts w:ascii="黑体" w:hAnsi="宋体" w:eastAsia="黑体"/>
          <w:sz w:val="24"/>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spacing w:line="288" w:lineRule="auto"/>
        <w:ind w:firstLine="500" w:firstLineChars="250"/>
        <w:rPr>
          <w:sz w:val="20"/>
          <w:szCs w:val="20"/>
        </w:rPr>
      </w:pPr>
      <w:r>
        <w:rPr>
          <w:rFonts w:hint="eastAsia"/>
          <w:sz w:val="20"/>
          <w:szCs w:val="20"/>
        </w:rPr>
        <w:t>大学英语教学是高等教育的一个有机组成部分，大学英语课程是大学生一门必修的基础课程。大学英语教学是以英语语言知识与应用技能、学习策略和跨文化交际为主要内容，以外语教学理论为指导，并集多种教学模式和教学手段为一体的教学体系。本课程</w:t>
      </w:r>
      <w:r>
        <w:rPr>
          <w:rFonts w:hint="eastAsia" w:hAnsi="Arial"/>
          <w:kern w:val="0"/>
          <w:sz w:val="20"/>
          <w:szCs w:val="20"/>
        </w:rPr>
        <w:t>目的是：</w:t>
      </w:r>
      <w:r>
        <w:rPr>
          <w:rFonts w:hint="eastAsia"/>
          <w:sz w:val="20"/>
          <w:szCs w:val="20"/>
        </w:rPr>
        <w:t>培养学生具有较强的阅读能力和实用有效的听、说、写、译能力，使他们能用英语交流信息。大学英语教学应帮助学生打下扎实的语言基础，掌握良好的语言学习方法，具有较强的英语应用能力和相应的综合文化素养，以适应社会发展和经济建设的需要。</w:t>
      </w:r>
    </w:p>
    <w:p>
      <w:pPr>
        <w:spacing w:after="468" w:afterLines="150" w:line="288" w:lineRule="auto"/>
        <w:ind w:firstLine="500" w:firstLineChars="250"/>
        <w:rPr>
          <w:sz w:val="20"/>
          <w:szCs w:val="20"/>
        </w:rPr>
      </w:pPr>
      <w:r>
        <w:rPr>
          <w:rFonts w:hint="eastAsia"/>
          <w:sz w:val="20"/>
          <w:szCs w:val="20"/>
        </w:rPr>
        <w:t>大学英语</w:t>
      </w:r>
      <w:r>
        <w:rPr>
          <w:sz w:val="20"/>
          <w:szCs w:val="20"/>
        </w:rPr>
        <w:t>(</w:t>
      </w:r>
      <w:r>
        <w:rPr>
          <w:rFonts w:hint="eastAsia"/>
          <w:sz w:val="20"/>
          <w:szCs w:val="20"/>
        </w:rPr>
        <w:t>4</w:t>
      </w:r>
      <w:r>
        <w:rPr>
          <w:sz w:val="20"/>
          <w:szCs w:val="20"/>
        </w:rPr>
        <w:t>)</w:t>
      </w:r>
      <w:r>
        <w:rPr>
          <w:rFonts w:hint="eastAsia"/>
          <w:sz w:val="20"/>
          <w:szCs w:val="20"/>
        </w:rPr>
        <w:t>课程，在完成《大学英语（3）》课程学习任务的基础上</w:t>
      </w:r>
      <w:r>
        <w:rPr>
          <w:sz w:val="20"/>
          <w:szCs w:val="20"/>
        </w:rPr>
        <w:t xml:space="preserve">, </w:t>
      </w:r>
      <w:r>
        <w:rPr>
          <w:rFonts w:hint="eastAsia"/>
          <w:sz w:val="20"/>
          <w:szCs w:val="20"/>
        </w:rPr>
        <w:t>需要在一个学期内，以循序渐进方式，学习的大学通识教育必修课程。全新版大学进阶英语以《大学英语教学指南》中基础级和提高级教学目标为依据，遵循外语学习规律，贯穿多元文化意识，在起点难度、结构布局、理念特色、能力培养、数字配套等方面进行全新设计，与“全新版大学英语”既有层次起点的划分，又有同脉相传的共核，共同构建从初级到高级，涵盖基础-提高-发展三个阶段的新一代大学英语教学产品体系。全新版大学进阶英语综合教程立足本国，博采众长，采用折中主义教学理念，结合数字化新兴媒体手段，实践了“基于主题的从输入到输出综合训练”的路子。它的题材是当下的，语言是时行的。选文充分体现“新”的特点，真实有趣，引人入胜。同时注重中国元素，每个单元均有一篇有关中国的文章，促进文化对比，培养学生跨文化沟通能力。全新版大学进阶英语遵循外语学习循序渐进的规律，注重词汇的复现，较多采用互动式、任务式等形式多样的练习。</w:t>
      </w:r>
    </w:p>
    <w:p>
      <w:pPr>
        <w:snapToGrid w:val="0"/>
        <w:spacing w:line="288" w:lineRule="auto"/>
        <w:ind w:firstLine="400" w:firstLineChars="200"/>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pacing w:line="288" w:lineRule="auto"/>
        <w:ind w:firstLine="400" w:firstLineChars="200"/>
        <w:rPr>
          <w:szCs w:val="21"/>
        </w:rPr>
      </w:pPr>
      <w:r>
        <w:rPr>
          <w:rFonts w:hint="eastAsia"/>
          <w:sz w:val="20"/>
          <w:szCs w:val="20"/>
        </w:rPr>
        <w:t>大学英语课程属公共必修课，是各个专业的本科生必须完成的学习任务之一，也是各专业学生了解国际科研新动向所必经的基本技能训练课。</w:t>
      </w:r>
    </w:p>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四、</w:t>
      </w:r>
      <w:r>
        <w:rPr>
          <w:rFonts w:ascii="黑体" w:hAnsi="宋体" w:eastAsia="黑体"/>
          <w:sz w:val="24"/>
        </w:rPr>
        <w:t>课程</w:t>
      </w:r>
      <w:r>
        <w:rPr>
          <w:rFonts w:hint="eastAsia" w:ascii="黑体" w:hAnsi="宋体" w:eastAsia="黑体"/>
          <w:sz w:val="24"/>
        </w:rPr>
        <w:t>目标/课程预期学习成果</w:t>
      </w:r>
    </w:p>
    <w:tbl>
      <w:tblPr>
        <w:tblStyle w:val="8"/>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tcPr>
          <w:p>
            <w:pPr>
              <w:snapToGrid w:val="0"/>
              <w:spacing w:line="288" w:lineRule="auto"/>
              <w:rPr>
                <w:b/>
                <w:sz w:val="20"/>
                <w:szCs w:val="20"/>
              </w:rPr>
            </w:pPr>
            <w:r>
              <w:rPr>
                <w:rFonts w:hint="eastAsia"/>
                <w:b/>
                <w:sz w:val="20"/>
                <w:szCs w:val="20"/>
              </w:rPr>
              <w:t>序号</w:t>
            </w:r>
          </w:p>
        </w:tc>
        <w:tc>
          <w:tcPr>
            <w:tcW w:w="1175" w:type="dxa"/>
          </w:tcPr>
          <w:p>
            <w:pPr>
              <w:snapToGrid w:val="0"/>
              <w:spacing w:line="288" w:lineRule="auto"/>
              <w:jc w:val="center"/>
              <w:rPr>
                <w:b/>
                <w:sz w:val="20"/>
                <w:szCs w:val="20"/>
              </w:rPr>
            </w:pPr>
            <w:r>
              <w:rPr>
                <w:rFonts w:hint="eastAsia"/>
                <w:b/>
                <w:sz w:val="20"/>
                <w:szCs w:val="20"/>
              </w:rPr>
              <w:t>课程预期</w:t>
            </w:r>
          </w:p>
          <w:p>
            <w:pPr>
              <w:snapToGrid w:val="0"/>
              <w:spacing w:line="288" w:lineRule="auto"/>
              <w:jc w:val="center"/>
              <w:rPr>
                <w:b/>
                <w:sz w:val="20"/>
                <w:szCs w:val="20"/>
              </w:rPr>
            </w:pPr>
            <w:r>
              <w:rPr>
                <w:rFonts w:hint="eastAsia"/>
                <w:b/>
                <w:sz w:val="20"/>
                <w:szCs w:val="20"/>
              </w:rPr>
              <w:t>学习成果</w:t>
            </w:r>
          </w:p>
        </w:tc>
        <w:tc>
          <w:tcPr>
            <w:tcW w:w="2470" w:type="dxa"/>
            <w:vAlign w:val="center"/>
          </w:tcPr>
          <w:p>
            <w:pPr>
              <w:snapToGrid w:val="0"/>
              <w:spacing w:line="288" w:lineRule="auto"/>
              <w:jc w:val="center"/>
              <w:rPr>
                <w:b/>
                <w:sz w:val="20"/>
                <w:szCs w:val="20"/>
              </w:rPr>
            </w:pPr>
            <w:r>
              <w:rPr>
                <w:rFonts w:hint="eastAsia"/>
                <w:b/>
                <w:sz w:val="20"/>
                <w:szCs w:val="20"/>
              </w:rPr>
              <w:t>课程目标</w:t>
            </w:r>
          </w:p>
          <w:p>
            <w:pPr>
              <w:snapToGrid w:val="0"/>
              <w:spacing w:line="288" w:lineRule="auto"/>
              <w:jc w:val="center"/>
              <w:rPr>
                <w:b/>
                <w:sz w:val="20"/>
                <w:szCs w:val="20"/>
              </w:rPr>
            </w:pPr>
            <w:r>
              <w:rPr>
                <w:rFonts w:hint="eastAsia"/>
                <w:b/>
                <w:sz w:val="20"/>
                <w:szCs w:val="20"/>
              </w:rPr>
              <w:t>（细化的预期学习成果）</w:t>
            </w:r>
          </w:p>
        </w:tc>
        <w:tc>
          <w:tcPr>
            <w:tcW w:w="2199" w:type="dxa"/>
            <w:vAlign w:val="center"/>
          </w:tcPr>
          <w:p>
            <w:pPr>
              <w:snapToGrid w:val="0"/>
              <w:spacing w:line="288" w:lineRule="auto"/>
              <w:jc w:val="center"/>
              <w:rPr>
                <w:b/>
                <w:sz w:val="20"/>
                <w:szCs w:val="20"/>
              </w:rPr>
            </w:pPr>
            <w:r>
              <w:rPr>
                <w:rFonts w:hint="eastAsia"/>
                <w:b/>
                <w:sz w:val="20"/>
                <w:szCs w:val="20"/>
              </w:rPr>
              <w:t>教与学方式</w:t>
            </w:r>
          </w:p>
        </w:tc>
        <w:tc>
          <w:tcPr>
            <w:tcW w:w="1276" w:type="dxa"/>
            <w:vAlign w:val="center"/>
          </w:tcPr>
          <w:p>
            <w:pPr>
              <w:snapToGrid w:val="0"/>
              <w:spacing w:line="288" w:lineRule="auto"/>
              <w:jc w:val="center"/>
              <w:rPr>
                <w:b/>
                <w:sz w:val="20"/>
                <w:szCs w:val="20"/>
              </w:rPr>
            </w:pPr>
            <w:r>
              <w:rPr>
                <w:rFonts w:hint="eastAsia"/>
                <w:b/>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tcPr>
          <w:p>
            <w:pPr>
              <w:jc w:val="center"/>
              <w:rPr>
                <w:rFonts w:ascii="仿宋" w:hAnsi="仿宋" w:eastAsia="仿宋" w:cs="宋体"/>
                <w:kern w:val="0"/>
                <w:sz w:val="24"/>
                <w:szCs w:val="24"/>
              </w:rPr>
            </w:pPr>
            <w:r>
              <w:rPr>
                <w:rFonts w:ascii="仿宋" w:hAnsi="仿宋" w:eastAsia="仿宋" w:cs="宋体"/>
                <w:kern w:val="0"/>
                <w:sz w:val="24"/>
                <w:szCs w:val="24"/>
              </w:rPr>
              <w:t>1</w:t>
            </w:r>
          </w:p>
        </w:tc>
        <w:tc>
          <w:tcPr>
            <w:tcW w:w="1175" w:type="dxa"/>
            <w:vAlign w:val="center"/>
          </w:tcPr>
          <w:p>
            <w:pPr>
              <w:rPr>
                <w:rFonts w:ascii="宋体" w:cs="宋体"/>
                <w:sz w:val="18"/>
                <w:szCs w:val="18"/>
              </w:rPr>
            </w:pPr>
            <w:r>
              <w:rPr>
                <w:rFonts w:ascii="宋体" w:hAnsi="宋体"/>
                <w:sz w:val="18"/>
                <w:szCs w:val="18"/>
              </w:rPr>
              <w:t>LO112</w:t>
            </w:r>
          </w:p>
          <w:p>
            <w:pPr>
              <w:rPr>
                <w:rFonts w:ascii="宋体" w:cs="宋体"/>
                <w:kern w:val="0"/>
                <w:sz w:val="18"/>
                <w:szCs w:val="18"/>
              </w:rPr>
            </w:pPr>
          </w:p>
        </w:tc>
        <w:tc>
          <w:tcPr>
            <w:tcW w:w="2470" w:type="dxa"/>
          </w:tcPr>
          <w:p>
            <w:pPr>
              <w:rPr>
                <w:rFonts w:ascii="宋体" w:cs="宋体"/>
                <w:kern w:val="0"/>
                <w:sz w:val="18"/>
                <w:szCs w:val="18"/>
              </w:rPr>
            </w:pPr>
            <w:r>
              <w:rPr>
                <w:rFonts w:hint="eastAsia" w:ascii="宋体" w:hAnsi="宋体" w:cs="宋体"/>
                <w:kern w:val="0"/>
                <w:sz w:val="18"/>
                <w:szCs w:val="18"/>
              </w:rPr>
              <w:t>能用口头的形式对某种社会现象与问题阐述自己的观点，进行有效的沟通</w:t>
            </w:r>
            <w:r>
              <w:rPr>
                <w:rFonts w:ascii="宋体" w:cs="宋体"/>
                <w:kern w:val="0"/>
                <w:sz w:val="18"/>
                <w:szCs w:val="18"/>
              </w:rPr>
              <w:t xml:space="preserve"> 。</w:t>
            </w:r>
          </w:p>
        </w:tc>
        <w:tc>
          <w:tcPr>
            <w:tcW w:w="2199" w:type="dxa"/>
          </w:tcPr>
          <w:p>
            <w:pPr>
              <w:snapToGrid w:val="0"/>
              <w:spacing w:line="288" w:lineRule="auto"/>
              <w:jc w:val="center"/>
              <w:rPr>
                <w:rFonts w:ascii="宋体" w:cs="宋体"/>
                <w:kern w:val="0"/>
                <w:sz w:val="18"/>
                <w:szCs w:val="18"/>
              </w:rPr>
            </w:pPr>
          </w:p>
          <w:p>
            <w:pPr>
              <w:snapToGrid w:val="0"/>
              <w:spacing w:line="288" w:lineRule="auto"/>
              <w:jc w:val="center"/>
              <w:rPr>
                <w:rFonts w:ascii="宋体" w:hAnsi="宋体" w:cs="宋体"/>
                <w:kern w:val="0"/>
                <w:sz w:val="18"/>
                <w:szCs w:val="18"/>
              </w:rPr>
            </w:pPr>
            <w:r>
              <w:rPr>
                <w:rFonts w:hint="eastAsia" w:ascii="宋体" w:hAnsi="宋体" w:cs="宋体"/>
                <w:kern w:val="0"/>
                <w:sz w:val="18"/>
                <w:szCs w:val="18"/>
              </w:rPr>
              <w:t>教师讲授</w:t>
            </w:r>
          </w:p>
          <w:p>
            <w:pPr>
              <w:snapToGrid w:val="0"/>
              <w:spacing w:line="288" w:lineRule="auto"/>
              <w:jc w:val="center"/>
              <w:rPr>
                <w:rFonts w:ascii="宋体"/>
                <w:sz w:val="18"/>
                <w:szCs w:val="18"/>
              </w:rPr>
            </w:pPr>
            <w:r>
              <w:rPr>
                <w:rFonts w:hint="eastAsia" w:ascii="宋体" w:hAnsi="宋体" w:cs="宋体"/>
                <w:kern w:val="0"/>
                <w:sz w:val="18"/>
                <w:szCs w:val="18"/>
              </w:rPr>
              <w:t>学生讨论</w:t>
            </w:r>
          </w:p>
        </w:tc>
        <w:tc>
          <w:tcPr>
            <w:tcW w:w="1276" w:type="dxa"/>
          </w:tcPr>
          <w:p>
            <w:pPr>
              <w:snapToGrid w:val="0"/>
              <w:spacing w:line="288" w:lineRule="auto"/>
              <w:jc w:val="center"/>
              <w:rPr>
                <w:rFonts w:ascii="宋体"/>
                <w:sz w:val="18"/>
                <w:szCs w:val="18"/>
              </w:rPr>
            </w:pPr>
          </w:p>
          <w:p>
            <w:pPr>
              <w:snapToGrid w:val="0"/>
              <w:spacing w:line="288" w:lineRule="auto"/>
              <w:jc w:val="center"/>
              <w:rPr>
                <w:rFonts w:ascii="宋体"/>
                <w:sz w:val="18"/>
                <w:szCs w:val="18"/>
              </w:rPr>
            </w:pPr>
            <w:r>
              <w:rPr>
                <w:rFonts w:ascii="宋体" w:hAnsi="宋体"/>
                <w:sz w:val="18"/>
                <w:szCs w:val="18"/>
              </w:rPr>
              <w:t xml:space="preserve"> </w:t>
            </w:r>
            <w:r>
              <w:rPr>
                <w:rFonts w:hint="eastAsia" w:ascii="宋体" w:hAnsi="宋体"/>
                <w:sz w:val="18"/>
                <w:szCs w:val="18"/>
              </w:rPr>
              <w:t>口试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535" w:type="dxa"/>
          </w:tcPr>
          <w:p>
            <w:pPr>
              <w:rPr>
                <w:rFonts w:ascii="仿宋" w:hAnsi="仿宋" w:eastAsia="仿宋" w:cs="宋体"/>
                <w:kern w:val="0"/>
                <w:sz w:val="24"/>
              </w:rPr>
            </w:pPr>
            <w:r>
              <w:rPr>
                <w:rFonts w:ascii="仿宋" w:hAnsi="仿宋" w:eastAsia="仿宋" w:cs="宋体"/>
                <w:kern w:val="0"/>
                <w:sz w:val="24"/>
                <w:szCs w:val="24"/>
              </w:rPr>
              <w:t>2.</w:t>
            </w:r>
          </w:p>
        </w:tc>
        <w:tc>
          <w:tcPr>
            <w:tcW w:w="1175" w:type="dxa"/>
            <w:vAlign w:val="center"/>
          </w:tcPr>
          <w:p>
            <w:pPr>
              <w:rPr>
                <w:rFonts w:ascii="宋体" w:cs="宋体"/>
                <w:sz w:val="18"/>
                <w:szCs w:val="18"/>
              </w:rPr>
            </w:pPr>
            <w:r>
              <w:rPr>
                <w:rFonts w:ascii="宋体" w:hAnsi="宋体"/>
                <w:sz w:val="18"/>
                <w:szCs w:val="18"/>
              </w:rPr>
              <w:t>LO212</w:t>
            </w:r>
          </w:p>
          <w:p>
            <w:pPr>
              <w:rPr>
                <w:rFonts w:ascii="宋体" w:cs="宋体"/>
                <w:kern w:val="0"/>
                <w:sz w:val="18"/>
                <w:szCs w:val="18"/>
              </w:rPr>
            </w:pPr>
          </w:p>
        </w:tc>
        <w:tc>
          <w:tcPr>
            <w:tcW w:w="2470" w:type="dxa"/>
          </w:tcPr>
          <w:p>
            <w:pPr>
              <w:rPr>
                <w:rFonts w:ascii="宋体" w:cs="宋体"/>
                <w:kern w:val="0"/>
                <w:sz w:val="18"/>
                <w:szCs w:val="18"/>
              </w:rPr>
            </w:pPr>
            <w:r>
              <w:rPr>
                <w:rFonts w:hint="eastAsia" w:ascii="宋体" w:hAnsi="宋体" w:cs="宋体"/>
                <w:kern w:val="0"/>
                <w:sz w:val="18"/>
                <w:szCs w:val="18"/>
              </w:rPr>
              <w:t>能根据学习目标，搜集、获取达到目标所需要的学习资源，学会自主学习，从而达到学习的目标。</w:t>
            </w:r>
          </w:p>
        </w:tc>
        <w:tc>
          <w:tcPr>
            <w:tcW w:w="2199" w:type="dxa"/>
          </w:tcPr>
          <w:p>
            <w:pPr>
              <w:snapToGrid w:val="0"/>
              <w:spacing w:line="288" w:lineRule="auto"/>
              <w:jc w:val="center"/>
              <w:rPr>
                <w:rFonts w:ascii="宋体"/>
                <w:sz w:val="18"/>
                <w:szCs w:val="18"/>
              </w:rPr>
            </w:pPr>
          </w:p>
          <w:p>
            <w:pPr>
              <w:snapToGrid w:val="0"/>
              <w:spacing w:line="288" w:lineRule="auto"/>
              <w:jc w:val="center"/>
              <w:rPr>
                <w:rFonts w:ascii="宋体"/>
                <w:sz w:val="18"/>
                <w:szCs w:val="18"/>
              </w:rPr>
            </w:pPr>
            <w:r>
              <w:rPr>
                <w:rFonts w:hint="eastAsia" w:ascii="宋体" w:hAnsi="宋体"/>
                <w:sz w:val="18"/>
                <w:szCs w:val="18"/>
              </w:rPr>
              <w:t>全景智能网络作文</w:t>
            </w:r>
          </w:p>
        </w:tc>
        <w:tc>
          <w:tcPr>
            <w:tcW w:w="1276" w:type="dxa"/>
          </w:tcPr>
          <w:p>
            <w:pPr>
              <w:snapToGrid w:val="0"/>
              <w:spacing w:line="288" w:lineRule="auto"/>
              <w:jc w:val="center"/>
              <w:rPr>
                <w:rFonts w:ascii="宋体"/>
                <w:sz w:val="18"/>
                <w:szCs w:val="18"/>
              </w:rPr>
            </w:pPr>
            <w:r>
              <w:rPr>
                <w:rFonts w:ascii="宋体" w:hAnsi="宋体"/>
                <w:sz w:val="18"/>
                <w:szCs w:val="18"/>
              </w:rPr>
              <w:t xml:space="preserve"> </w:t>
            </w:r>
          </w:p>
          <w:p>
            <w:pPr>
              <w:snapToGrid w:val="0"/>
              <w:spacing w:line="288" w:lineRule="auto"/>
              <w:jc w:val="center"/>
              <w:rPr>
                <w:rFonts w:ascii="宋体"/>
                <w:sz w:val="18"/>
                <w:szCs w:val="18"/>
              </w:rPr>
            </w:pPr>
            <w:r>
              <w:rPr>
                <w:rFonts w:ascii="宋体" w:hAnsi="宋体"/>
                <w:sz w:val="18"/>
                <w:szCs w:val="18"/>
              </w:rPr>
              <w:t xml:space="preserve"> </w:t>
            </w:r>
            <w:r>
              <w:rPr>
                <w:rFonts w:hint="eastAsia" w:ascii="宋体" w:hAnsi="宋体"/>
                <w:sz w:val="18"/>
                <w:szCs w:val="18"/>
              </w:rPr>
              <w:t>机器评估</w:t>
            </w:r>
          </w:p>
          <w:p>
            <w:pPr>
              <w:snapToGrid w:val="0"/>
              <w:spacing w:line="288" w:lineRule="auto"/>
              <w:ind w:firstLine="90" w:firstLineChars="50"/>
              <w:rPr>
                <w:rFonts w:ascii="宋体"/>
                <w:sz w:val="18"/>
                <w:szCs w:val="18"/>
              </w:rPr>
            </w:pPr>
            <w:r>
              <w:rPr>
                <w:rFonts w:hint="eastAsia" w:ascii="宋体" w:hAnsi="宋体"/>
                <w:sz w:val="18"/>
                <w:szCs w:val="18"/>
              </w:rPr>
              <w:t xml:space="preserve"> +教师评估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535" w:type="dxa"/>
          </w:tcPr>
          <w:p>
            <w:pPr>
              <w:rPr>
                <w:rFonts w:ascii="仿宋" w:hAnsi="仿宋" w:eastAsia="仿宋" w:cs="宋体"/>
                <w:kern w:val="0"/>
                <w:sz w:val="24"/>
                <w:szCs w:val="24"/>
              </w:rPr>
            </w:pPr>
            <w:r>
              <w:rPr>
                <w:rFonts w:ascii="仿宋" w:hAnsi="仿宋" w:eastAsia="仿宋" w:cs="宋体"/>
                <w:kern w:val="0"/>
                <w:sz w:val="24"/>
                <w:szCs w:val="24"/>
              </w:rPr>
              <w:t>3</w:t>
            </w:r>
          </w:p>
        </w:tc>
        <w:tc>
          <w:tcPr>
            <w:tcW w:w="1175" w:type="dxa"/>
          </w:tcPr>
          <w:p>
            <w:pPr>
              <w:rPr>
                <w:rFonts w:ascii="宋体"/>
                <w:sz w:val="18"/>
                <w:szCs w:val="18"/>
              </w:rPr>
            </w:pPr>
          </w:p>
          <w:p>
            <w:pPr>
              <w:rPr>
                <w:rFonts w:ascii="宋体" w:cs="宋体"/>
                <w:kern w:val="0"/>
                <w:sz w:val="18"/>
                <w:szCs w:val="18"/>
              </w:rPr>
            </w:pPr>
            <w:r>
              <w:rPr>
                <w:rFonts w:ascii="宋体" w:hAnsi="宋体"/>
                <w:sz w:val="18"/>
                <w:szCs w:val="18"/>
              </w:rPr>
              <w:t>LO711</w:t>
            </w:r>
          </w:p>
        </w:tc>
        <w:tc>
          <w:tcPr>
            <w:tcW w:w="2470" w:type="dxa"/>
          </w:tcPr>
          <w:p>
            <w:pPr>
              <w:rPr>
                <w:rFonts w:ascii="宋体" w:cs="宋体"/>
                <w:kern w:val="0"/>
                <w:sz w:val="18"/>
                <w:szCs w:val="18"/>
              </w:rPr>
            </w:pPr>
            <w:r>
              <w:rPr>
                <w:rFonts w:hint="eastAsia" w:ascii="宋体" w:hAnsi="宋体" w:cs="宋体"/>
                <w:kern w:val="0"/>
                <w:sz w:val="18"/>
                <w:szCs w:val="18"/>
              </w:rPr>
              <w:t>了解祖国的政治、经济、历史及优秀传统文化，培养学生的家国情怀。</w:t>
            </w:r>
          </w:p>
        </w:tc>
        <w:tc>
          <w:tcPr>
            <w:tcW w:w="2199" w:type="dxa"/>
          </w:tcPr>
          <w:p>
            <w:pPr>
              <w:snapToGrid w:val="0"/>
              <w:spacing w:line="288" w:lineRule="auto"/>
              <w:jc w:val="center"/>
              <w:rPr>
                <w:rFonts w:ascii="宋体" w:hAnsi="宋体" w:cs="宋体"/>
                <w:kern w:val="0"/>
                <w:sz w:val="18"/>
                <w:szCs w:val="18"/>
              </w:rPr>
            </w:pPr>
          </w:p>
          <w:p>
            <w:pPr>
              <w:snapToGrid w:val="0"/>
              <w:spacing w:line="288" w:lineRule="auto"/>
              <w:jc w:val="center"/>
              <w:rPr>
                <w:rFonts w:ascii="宋体"/>
                <w:sz w:val="18"/>
                <w:szCs w:val="18"/>
              </w:rPr>
            </w:pPr>
            <w:r>
              <w:rPr>
                <w:rFonts w:hint="eastAsia" w:ascii="宋体" w:hAnsi="宋体" w:cs="宋体"/>
                <w:kern w:val="0"/>
                <w:sz w:val="18"/>
                <w:szCs w:val="18"/>
              </w:rPr>
              <w:t>段落翻译讲解与练习</w:t>
            </w:r>
          </w:p>
        </w:tc>
        <w:tc>
          <w:tcPr>
            <w:tcW w:w="1276" w:type="dxa"/>
          </w:tcPr>
          <w:p>
            <w:pPr>
              <w:snapToGrid w:val="0"/>
              <w:spacing w:line="288" w:lineRule="auto"/>
              <w:jc w:val="center"/>
              <w:rPr>
                <w:rFonts w:ascii="宋体"/>
                <w:sz w:val="18"/>
                <w:szCs w:val="18"/>
              </w:rPr>
            </w:pPr>
            <w:r>
              <w:rPr>
                <w:rFonts w:ascii="宋体" w:hAnsi="宋体"/>
                <w:sz w:val="18"/>
                <w:szCs w:val="18"/>
              </w:rPr>
              <w:t xml:space="preserve"> </w:t>
            </w:r>
          </w:p>
          <w:p>
            <w:pPr>
              <w:snapToGrid w:val="0"/>
              <w:spacing w:line="288" w:lineRule="auto"/>
              <w:jc w:val="center"/>
              <w:rPr>
                <w:rFonts w:ascii="宋体"/>
                <w:sz w:val="18"/>
                <w:szCs w:val="18"/>
              </w:rPr>
            </w:pPr>
            <w:r>
              <w:rPr>
                <w:rFonts w:ascii="宋体" w:hAnsi="宋体"/>
                <w:sz w:val="18"/>
                <w:szCs w:val="18"/>
              </w:rPr>
              <w:t xml:space="preserve"> </w:t>
            </w:r>
            <w:r>
              <w:rPr>
                <w:rFonts w:hint="eastAsia" w:ascii="宋体" w:hAnsi="宋体"/>
                <w:sz w:val="18"/>
                <w:szCs w:val="18"/>
              </w:rPr>
              <w:t>教师评估</w:t>
            </w:r>
          </w:p>
          <w:p>
            <w:pPr>
              <w:snapToGrid w:val="0"/>
              <w:spacing w:line="288" w:lineRule="auto"/>
              <w:ind w:firstLine="90" w:firstLineChars="50"/>
              <w:rPr>
                <w:rFonts w:ascii="宋体"/>
                <w:sz w:val="18"/>
                <w:szCs w:val="18"/>
              </w:rPr>
            </w:pPr>
          </w:p>
        </w:tc>
      </w:tr>
    </w:tbl>
    <w:p>
      <w:pPr>
        <w:widowControl/>
        <w:spacing w:before="156" w:beforeLines="50" w:after="156" w:afterLines="50" w:line="288" w:lineRule="auto"/>
        <w:ind w:firstLine="360" w:firstLineChars="150"/>
        <w:jc w:val="left"/>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课程内容</w:t>
      </w:r>
    </w:p>
    <w:tbl>
      <w:tblPr>
        <w:tblStyle w:val="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3733"/>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napToGrid w:val="0"/>
              <w:spacing w:line="288" w:lineRule="auto"/>
              <w:ind w:firstLine="180" w:firstLineChars="100"/>
              <w:jc w:val="center"/>
              <w:rPr>
                <w:rFonts w:ascii="黑体" w:hAnsi="黑体" w:eastAsia="黑体"/>
                <w:sz w:val="18"/>
                <w:szCs w:val="18"/>
              </w:rPr>
            </w:pPr>
            <w:r>
              <w:rPr>
                <w:rFonts w:hint="eastAsia" w:ascii="黑体" w:hAnsi="黑体" w:eastAsia="黑体"/>
                <w:sz w:val="18"/>
                <w:szCs w:val="18"/>
              </w:rPr>
              <w:t>单元</w:t>
            </w:r>
          </w:p>
        </w:tc>
        <w:tc>
          <w:tcPr>
            <w:tcW w:w="3733" w:type="dxa"/>
          </w:tcPr>
          <w:p>
            <w:pPr>
              <w:snapToGrid w:val="0"/>
              <w:spacing w:line="288" w:lineRule="auto"/>
              <w:jc w:val="center"/>
              <w:rPr>
                <w:rFonts w:ascii="黑体" w:hAnsi="黑体" w:eastAsia="黑体"/>
                <w:sz w:val="18"/>
                <w:szCs w:val="18"/>
              </w:rPr>
            </w:pPr>
            <w:r>
              <w:rPr>
                <w:rFonts w:hint="eastAsia" w:ascii="黑体" w:hAnsi="黑体" w:eastAsia="黑体"/>
                <w:sz w:val="18"/>
                <w:szCs w:val="18"/>
              </w:rPr>
              <w:t>教学内容</w:t>
            </w:r>
          </w:p>
        </w:tc>
        <w:tc>
          <w:tcPr>
            <w:tcW w:w="3686" w:type="dxa"/>
          </w:tcPr>
          <w:p>
            <w:pPr>
              <w:snapToGrid w:val="0"/>
              <w:spacing w:line="288" w:lineRule="auto"/>
              <w:ind w:firstLine="1080" w:firstLineChars="600"/>
              <w:jc w:val="center"/>
              <w:rPr>
                <w:rFonts w:ascii="黑体" w:hAnsi="黑体" w:eastAsia="黑体"/>
                <w:sz w:val="18"/>
                <w:szCs w:val="18"/>
              </w:rPr>
            </w:pPr>
            <w:r>
              <w:rPr>
                <w:rFonts w:hint="eastAsia" w:ascii="黑体" w:hAnsi="黑体" w:eastAsia="黑体"/>
                <w:sz w:val="18"/>
                <w:szCs w:val="18"/>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napToGrid w:val="0"/>
              <w:spacing w:line="288" w:lineRule="auto"/>
              <w:ind w:firstLine="270" w:firstLineChars="150"/>
              <w:rPr>
                <w:sz w:val="18"/>
                <w:szCs w:val="18"/>
              </w:rPr>
            </w:pPr>
            <w:r>
              <w:rPr>
                <w:sz w:val="18"/>
                <w:szCs w:val="18"/>
              </w:rPr>
              <w:t>1</w:t>
            </w:r>
          </w:p>
          <w:p>
            <w:pPr>
              <w:snapToGrid w:val="0"/>
              <w:spacing w:line="288" w:lineRule="auto"/>
              <w:rPr>
                <w:sz w:val="18"/>
                <w:szCs w:val="18"/>
              </w:rPr>
            </w:pPr>
          </w:p>
        </w:tc>
        <w:tc>
          <w:tcPr>
            <w:tcW w:w="3733" w:type="dxa"/>
          </w:tcPr>
          <w:p>
            <w:pPr>
              <w:snapToGrid w:val="0"/>
              <w:spacing w:line="288" w:lineRule="auto"/>
              <w:rPr>
                <w:rFonts w:hAnsi="宋体"/>
                <w:kern w:val="0"/>
                <w:sz w:val="18"/>
                <w:szCs w:val="18"/>
              </w:rPr>
            </w:pPr>
            <w:r>
              <w:rPr>
                <w:rFonts w:hint="eastAsia" w:hAnsi="宋体"/>
                <w:kern w:val="0"/>
                <w:sz w:val="18"/>
                <w:szCs w:val="18"/>
              </w:rPr>
              <w:t>知识目标：</w:t>
            </w:r>
          </w:p>
          <w:p>
            <w:pPr>
              <w:snapToGrid w:val="0"/>
              <w:spacing w:line="288" w:lineRule="auto"/>
              <w:ind w:left="90" w:hanging="90" w:hangingChars="50"/>
              <w:rPr>
                <w:rFonts w:hAnsi="宋体"/>
                <w:kern w:val="0"/>
                <w:sz w:val="18"/>
                <w:szCs w:val="18"/>
              </w:rPr>
            </w:pPr>
            <w:r>
              <w:rPr>
                <w:rFonts w:hAnsi="宋体"/>
                <w:kern w:val="0"/>
                <w:sz w:val="18"/>
                <w:szCs w:val="18"/>
              </w:rPr>
              <w:t>1)</w:t>
            </w:r>
            <w:r>
              <w:rPr>
                <w:rFonts w:hint="eastAsia" w:hAnsi="宋体"/>
                <w:kern w:val="0"/>
                <w:sz w:val="18"/>
                <w:szCs w:val="18"/>
              </w:rPr>
              <w:t>学习</w:t>
            </w:r>
            <w:r>
              <w:rPr>
                <w:rFonts w:hAnsi="宋体"/>
                <w:kern w:val="0"/>
                <w:sz w:val="18"/>
                <w:szCs w:val="18"/>
              </w:rPr>
              <w:t>Text</w:t>
            </w:r>
            <w:r>
              <w:rPr>
                <w:rFonts w:hint="eastAsia" w:hAnsi="宋体"/>
                <w:kern w:val="0"/>
                <w:sz w:val="18"/>
                <w:szCs w:val="18"/>
              </w:rPr>
              <w:t>中单词、短语以及文章中的长难句；</w:t>
            </w:r>
          </w:p>
          <w:p>
            <w:pPr>
              <w:snapToGrid w:val="0"/>
              <w:spacing w:line="288" w:lineRule="auto"/>
              <w:rPr>
                <w:rFonts w:hAnsi="宋体"/>
                <w:kern w:val="0"/>
                <w:sz w:val="18"/>
                <w:szCs w:val="18"/>
              </w:rPr>
            </w:pPr>
            <w:r>
              <w:rPr>
                <w:rFonts w:hAnsi="宋体"/>
                <w:kern w:val="0"/>
                <w:sz w:val="18"/>
                <w:szCs w:val="18"/>
              </w:rPr>
              <w:t>2)</w:t>
            </w:r>
            <w:r>
              <w:rPr>
                <w:rFonts w:hint="eastAsia" w:hAnsi="宋体"/>
                <w:kern w:val="0"/>
                <w:sz w:val="18"/>
                <w:szCs w:val="18"/>
              </w:rPr>
              <w:t>熟悉文章中的背景知识：打工度假签证，杰克和豆茎的童话故事，澳大利亚英语的词汇，加拿大人特有的口头禅；</w:t>
            </w:r>
          </w:p>
          <w:p>
            <w:pPr>
              <w:snapToGrid w:val="0"/>
              <w:spacing w:line="288" w:lineRule="auto"/>
              <w:rPr>
                <w:rFonts w:hAnsi="宋体"/>
                <w:kern w:val="0"/>
                <w:sz w:val="18"/>
                <w:szCs w:val="18"/>
              </w:rPr>
            </w:pPr>
            <w:r>
              <w:rPr>
                <w:rFonts w:hAnsi="宋体"/>
                <w:kern w:val="0"/>
                <w:sz w:val="18"/>
                <w:szCs w:val="18"/>
              </w:rPr>
              <w:t>3)</w:t>
            </w:r>
            <w:r>
              <w:rPr>
                <w:rFonts w:hint="eastAsia" w:hAnsi="宋体"/>
                <w:kern w:val="0"/>
                <w:sz w:val="18"/>
                <w:szCs w:val="18"/>
              </w:rPr>
              <w:t>让学生明白打工度假可能的好处和坏处；</w:t>
            </w:r>
          </w:p>
          <w:p>
            <w:pPr>
              <w:snapToGrid w:val="0"/>
              <w:spacing w:line="288" w:lineRule="auto"/>
              <w:rPr>
                <w:rFonts w:hAnsi="宋体"/>
                <w:kern w:val="0"/>
                <w:sz w:val="18"/>
                <w:szCs w:val="18"/>
              </w:rPr>
            </w:pPr>
            <w:r>
              <w:rPr>
                <w:rFonts w:hint="eastAsia" w:hAnsi="宋体"/>
                <w:kern w:val="0"/>
                <w:sz w:val="18"/>
                <w:szCs w:val="18"/>
              </w:rPr>
              <w:t>能力目标：</w:t>
            </w:r>
          </w:p>
          <w:p>
            <w:pPr>
              <w:snapToGrid w:val="0"/>
              <w:spacing w:line="288" w:lineRule="auto"/>
              <w:rPr>
                <w:rFonts w:hAnsi="宋体"/>
                <w:kern w:val="0"/>
                <w:sz w:val="18"/>
                <w:szCs w:val="18"/>
              </w:rPr>
            </w:pPr>
            <w:r>
              <w:rPr>
                <w:rFonts w:hAnsi="宋体"/>
                <w:kern w:val="0"/>
                <w:sz w:val="18"/>
                <w:szCs w:val="18"/>
              </w:rPr>
              <w:t>1)</w:t>
            </w:r>
            <w:r>
              <w:rPr>
                <w:rFonts w:hint="eastAsia" w:hAnsi="宋体"/>
                <w:kern w:val="0"/>
                <w:sz w:val="18"/>
                <w:szCs w:val="18"/>
              </w:rPr>
              <w:t>运用阅读法掌握文章的主题：</w:t>
            </w:r>
          </w:p>
          <w:p>
            <w:pPr>
              <w:rPr>
                <w:rFonts w:hAnsi="宋体"/>
                <w:kern w:val="0"/>
                <w:sz w:val="18"/>
                <w:szCs w:val="18"/>
              </w:rPr>
            </w:pPr>
            <w:r>
              <w:rPr>
                <w:rFonts w:hAnsi="宋体"/>
                <w:kern w:val="0"/>
                <w:sz w:val="18"/>
                <w:szCs w:val="18"/>
              </w:rPr>
              <w:t>2)</w:t>
            </w:r>
            <w:r>
              <w:rPr>
                <w:rFonts w:hint="eastAsia" w:hAnsi="宋体"/>
                <w:kern w:val="0"/>
                <w:sz w:val="18"/>
                <w:szCs w:val="18"/>
              </w:rPr>
              <w:t>欣赏作者的写作技巧；</w:t>
            </w:r>
          </w:p>
          <w:p>
            <w:pPr>
              <w:snapToGrid w:val="0"/>
              <w:spacing w:line="288" w:lineRule="auto"/>
              <w:ind w:left="90" w:hanging="90" w:hangingChars="50"/>
              <w:rPr>
                <w:rFonts w:hAnsi="宋体"/>
                <w:kern w:val="0"/>
                <w:sz w:val="18"/>
                <w:szCs w:val="18"/>
              </w:rPr>
            </w:pPr>
            <w:r>
              <w:rPr>
                <w:rFonts w:hAnsi="宋体"/>
                <w:kern w:val="0"/>
                <w:sz w:val="18"/>
                <w:szCs w:val="18"/>
              </w:rPr>
              <w:t>3)</w:t>
            </w:r>
            <w:r>
              <w:rPr>
                <w:rFonts w:hint="eastAsia" w:hAnsi="宋体"/>
                <w:kern w:val="0"/>
                <w:sz w:val="18"/>
                <w:szCs w:val="18"/>
              </w:rPr>
              <w:t>训练学生通过抓住重要的细节以及对语篇的主旨大意来提高听力练习；</w:t>
            </w:r>
          </w:p>
          <w:p>
            <w:pPr>
              <w:snapToGrid w:val="0"/>
              <w:spacing w:line="288" w:lineRule="auto"/>
              <w:ind w:left="90" w:hanging="90" w:hangingChars="50"/>
              <w:rPr>
                <w:rFonts w:hAnsi="宋体"/>
                <w:kern w:val="0"/>
                <w:sz w:val="18"/>
                <w:szCs w:val="18"/>
              </w:rPr>
            </w:pPr>
            <w:r>
              <w:rPr>
                <w:rFonts w:hAnsi="宋体"/>
                <w:kern w:val="0"/>
                <w:sz w:val="18"/>
                <w:szCs w:val="18"/>
              </w:rPr>
              <w:t>4)</w:t>
            </w:r>
            <w:r>
              <w:rPr>
                <w:rFonts w:hint="eastAsia" w:hAnsi="宋体"/>
                <w:kern w:val="0"/>
                <w:sz w:val="18"/>
                <w:szCs w:val="18"/>
              </w:rPr>
              <w:t>利用略读法以及扫读法能在规定的时间内完成文章结构的划分和主旨总结；</w:t>
            </w:r>
          </w:p>
          <w:p>
            <w:pPr>
              <w:snapToGrid w:val="0"/>
              <w:spacing w:line="288" w:lineRule="auto"/>
              <w:rPr>
                <w:rFonts w:hAnsi="宋体"/>
                <w:kern w:val="0"/>
                <w:sz w:val="18"/>
                <w:szCs w:val="18"/>
              </w:rPr>
            </w:pPr>
            <w:r>
              <w:rPr>
                <w:rFonts w:hint="eastAsia" w:hAnsi="宋体"/>
                <w:kern w:val="0"/>
                <w:sz w:val="18"/>
                <w:szCs w:val="18"/>
              </w:rPr>
              <w:t>情感目标：通过学习打工度假可能带来的好处和坏处，让学生明白打工度假对工作和生活的重要性。当代的大学生应该享受工作，享受学习，实现理想的人生。</w:t>
            </w:r>
          </w:p>
          <w:p>
            <w:pPr>
              <w:snapToGrid w:val="0"/>
              <w:spacing w:line="288" w:lineRule="auto"/>
              <w:rPr>
                <w:rFonts w:hAnsi="宋体"/>
                <w:kern w:val="0"/>
                <w:sz w:val="18"/>
                <w:szCs w:val="18"/>
              </w:rPr>
            </w:pPr>
            <w:r>
              <w:rPr>
                <w:rFonts w:hint="eastAsia" w:hAnsi="宋体"/>
                <w:kern w:val="0"/>
                <w:sz w:val="18"/>
                <w:szCs w:val="18"/>
              </w:rPr>
              <w:t>教学难点：</w:t>
            </w:r>
          </w:p>
          <w:p>
            <w:pPr>
              <w:snapToGrid w:val="0"/>
              <w:spacing w:line="288" w:lineRule="auto"/>
              <w:rPr>
                <w:rFonts w:hAnsi="宋体"/>
                <w:kern w:val="0"/>
                <w:sz w:val="18"/>
                <w:szCs w:val="18"/>
              </w:rPr>
            </w:pPr>
            <w:r>
              <w:rPr>
                <w:rFonts w:hAnsi="宋体"/>
                <w:kern w:val="0"/>
                <w:sz w:val="18"/>
                <w:szCs w:val="18"/>
              </w:rPr>
              <w:t>1)</w:t>
            </w:r>
            <w:r>
              <w:rPr>
                <w:rFonts w:hint="eastAsia" w:hAnsi="宋体"/>
                <w:kern w:val="0"/>
                <w:sz w:val="18"/>
                <w:szCs w:val="18"/>
              </w:rPr>
              <w:t>理解文章的主旨大意；</w:t>
            </w:r>
          </w:p>
          <w:p>
            <w:pPr>
              <w:snapToGrid w:val="0"/>
              <w:spacing w:line="288" w:lineRule="auto"/>
              <w:rPr>
                <w:rFonts w:hAnsi="宋体"/>
                <w:kern w:val="0"/>
                <w:sz w:val="18"/>
                <w:szCs w:val="18"/>
              </w:rPr>
            </w:pPr>
            <w:r>
              <w:rPr>
                <w:rFonts w:hAnsi="宋体"/>
                <w:kern w:val="0"/>
                <w:sz w:val="18"/>
                <w:szCs w:val="18"/>
              </w:rPr>
              <w:t>2)</w:t>
            </w:r>
            <w:r>
              <w:rPr>
                <w:rFonts w:hint="eastAsia" w:hAnsi="宋体"/>
                <w:kern w:val="0"/>
                <w:sz w:val="18"/>
                <w:szCs w:val="18"/>
              </w:rPr>
              <w:t>找到课文中每一段的主题句；</w:t>
            </w:r>
          </w:p>
          <w:p>
            <w:pPr>
              <w:snapToGrid w:val="0"/>
              <w:spacing w:line="288" w:lineRule="auto"/>
              <w:ind w:left="180" w:hanging="180" w:hangingChars="100"/>
              <w:rPr>
                <w:rFonts w:hAnsi="宋体"/>
                <w:kern w:val="0"/>
                <w:sz w:val="18"/>
                <w:szCs w:val="18"/>
              </w:rPr>
            </w:pPr>
            <w:r>
              <w:rPr>
                <w:rFonts w:hAnsi="宋体"/>
                <w:kern w:val="0"/>
                <w:sz w:val="18"/>
                <w:szCs w:val="18"/>
              </w:rPr>
              <w:t>3)</w:t>
            </w:r>
            <w:r>
              <w:rPr>
                <w:rFonts w:hint="eastAsia" w:hAnsi="宋体"/>
                <w:kern w:val="0"/>
                <w:sz w:val="18"/>
                <w:szCs w:val="18"/>
              </w:rPr>
              <w:t>掌握本单元的重点单词、短语以及它们在具体语境中的用法；</w:t>
            </w:r>
          </w:p>
          <w:p>
            <w:pPr>
              <w:snapToGrid w:val="0"/>
              <w:spacing w:line="288" w:lineRule="auto"/>
              <w:ind w:left="180" w:hanging="180" w:hangingChars="100"/>
              <w:rPr>
                <w:rFonts w:hAnsi="宋体"/>
                <w:kern w:val="0"/>
                <w:sz w:val="18"/>
                <w:szCs w:val="18"/>
              </w:rPr>
            </w:pPr>
            <w:r>
              <w:rPr>
                <w:rFonts w:hAnsi="宋体"/>
                <w:kern w:val="0"/>
                <w:sz w:val="18"/>
                <w:szCs w:val="18"/>
              </w:rPr>
              <w:t>4)</w:t>
            </w:r>
            <w:r>
              <w:rPr>
                <w:rFonts w:hint="eastAsia" w:hAnsi="宋体"/>
                <w:kern w:val="0"/>
                <w:sz w:val="18"/>
                <w:szCs w:val="18"/>
              </w:rPr>
              <w:t>运用对比法分析任何事物的两面性；</w:t>
            </w:r>
          </w:p>
          <w:p>
            <w:pPr>
              <w:snapToGrid w:val="0"/>
              <w:spacing w:line="288" w:lineRule="auto"/>
              <w:rPr>
                <w:sz w:val="18"/>
                <w:szCs w:val="18"/>
              </w:rPr>
            </w:pPr>
            <w:r>
              <w:rPr>
                <w:rFonts w:hAnsi="宋体"/>
                <w:kern w:val="0"/>
                <w:sz w:val="18"/>
                <w:szCs w:val="18"/>
              </w:rPr>
              <w:t>5)</w:t>
            </w:r>
            <w:r>
              <w:rPr>
                <w:rFonts w:hint="eastAsia" w:hAnsi="宋体"/>
                <w:kern w:val="0"/>
                <w:sz w:val="18"/>
                <w:szCs w:val="18"/>
              </w:rPr>
              <w:t>运用略读法以及扫读法提高答题准确性；</w:t>
            </w:r>
          </w:p>
        </w:tc>
        <w:tc>
          <w:tcPr>
            <w:tcW w:w="3686" w:type="dxa"/>
          </w:tcPr>
          <w:p>
            <w:pPr>
              <w:widowControl/>
              <w:rPr>
                <w:rFonts w:ascii="宋体"/>
                <w:sz w:val="18"/>
                <w:szCs w:val="18"/>
              </w:rPr>
            </w:pPr>
            <w:r>
              <w:rPr>
                <w:rFonts w:hint="eastAsia" w:ascii="宋体"/>
                <w:sz w:val="18"/>
                <w:szCs w:val="18"/>
              </w:rPr>
              <w:t>掌握重点单词、短语和句型；</w:t>
            </w:r>
          </w:p>
          <w:p>
            <w:pPr>
              <w:widowControl/>
              <w:rPr>
                <w:rFonts w:ascii="宋体"/>
                <w:sz w:val="18"/>
                <w:szCs w:val="18"/>
              </w:rPr>
            </w:pPr>
            <w:r>
              <w:rPr>
                <w:rFonts w:hint="eastAsia" w:ascii="宋体"/>
                <w:sz w:val="18"/>
                <w:szCs w:val="18"/>
              </w:rPr>
              <w:t>了解文章中涉及的相关背景知识；</w:t>
            </w:r>
          </w:p>
          <w:p>
            <w:pPr>
              <w:widowControl/>
              <w:rPr>
                <w:rFonts w:ascii="宋体"/>
                <w:sz w:val="18"/>
                <w:szCs w:val="18"/>
              </w:rPr>
            </w:pPr>
            <w:r>
              <w:rPr>
                <w:rFonts w:hint="eastAsia" w:ascii="宋体"/>
                <w:sz w:val="18"/>
                <w:szCs w:val="18"/>
              </w:rPr>
              <w:t>引导学生利用正确的阅读方法快速的掌握文章的主旨大意，掌握博客型文体区别于报纸文章的谈话写实性、非正式灵活性特征。</w:t>
            </w:r>
          </w:p>
          <w:p>
            <w:pPr>
              <w:widowControl/>
              <w:rPr>
                <w:rFonts w:ascii="宋体"/>
                <w:sz w:val="18"/>
                <w:szCs w:val="18"/>
              </w:rPr>
            </w:pPr>
            <w:r>
              <w:rPr>
                <w:rFonts w:hint="eastAsia" w:ascii="宋体"/>
                <w:sz w:val="18"/>
                <w:szCs w:val="18"/>
              </w:rPr>
              <w:t>能够用自己的语言表达暑期工作经历或志愿服务经历，并分析其中的利弊、收获和改变。</w:t>
            </w:r>
          </w:p>
          <w:p>
            <w:pPr>
              <w:snapToGrid w:val="0"/>
              <w:spacing w:line="288" w:lineRule="auto"/>
              <w:rPr>
                <w:sz w:val="18"/>
                <w:szCs w:val="18"/>
              </w:rPr>
            </w:pPr>
            <w:r>
              <w:rPr>
                <w:rFonts w:hint="eastAsia" w:ascii="宋体"/>
                <w:sz w:val="18"/>
                <w:szCs w:val="18"/>
              </w:rPr>
              <w:t>能够一分为二地看问题，对于生活的看法更加成熟，享受生活，遇见更好的自己。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napToGrid w:val="0"/>
              <w:spacing w:line="288" w:lineRule="auto"/>
              <w:ind w:firstLine="180" w:firstLineChars="100"/>
              <w:rPr>
                <w:sz w:val="18"/>
                <w:szCs w:val="18"/>
              </w:rPr>
            </w:pPr>
            <w:r>
              <w:rPr>
                <w:sz w:val="18"/>
                <w:szCs w:val="18"/>
              </w:rPr>
              <w:t>2</w:t>
            </w:r>
          </w:p>
        </w:tc>
        <w:tc>
          <w:tcPr>
            <w:tcW w:w="3733" w:type="dxa"/>
            <w:vAlign w:val="center"/>
          </w:tcPr>
          <w:p>
            <w:pPr>
              <w:snapToGrid w:val="0"/>
              <w:spacing w:line="288" w:lineRule="auto"/>
              <w:rPr>
                <w:rFonts w:hAnsi="宋体"/>
                <w:kern w:val="0"/>
                <w:sz w:val="18"/>
                <w:szCs w:val="18"/>
              </w:rPr>
            </w:pPr>
            <w:r>
              <w:rPr>
                <w:rFonts w:hint="eastAsia" w:hAnsi="宋体"/>
                <w:kern w:val="0"/>
                <w:sz w:val="18"/>
                <w:szCs w:val="18"/>
              </w:rPr>
              <w:t>知识目标：</w:t>
            </w:r>
          </w:p>
          <w:p>
            <w:pPr>
              <w:snapToGrid w:val="0"/>
              <w:spacing w:line="288" w:lineRule="auto"/>
              <w:ind w:left="90" w:hanging="90" w:hangingChars="50"/>
              <w:rPr>
                <w:rFonts w:hAnsi="宋体"/>
                <w:kern w:val="0"/>
                <w:sz w:val="18"/>
                <w:szCs w:val="18"/>
              </w:rPr>
            </w:pPr>
            <w:r>
              <w:rPr>
                <w:rFonts w:hAnsi="宋体"/>
                <w:kern w:val="0"/>
                <w:sz w:val="18"/>
                <w:szCs w:val="18"/>
              </w:rPr>
              <w:t>1)</w:t>
            </w:r>
            <w:r>
              <w:rPr>
                <w:rFonts w:hint="eastAsia" w:hAnsi="宋体"/>
                <w:kern w:val="0"/>
                <w:sz w:val="18"/>
                <w:szCs w:val="18"/>
              </w:rPr>
              <w:t>学习</w:t>
            </w:r>
            <w:r>
              <w:rPr>
                <w:rFonts w:hAnsi="宋体"/>
                <w:kern w:val="0"/>
                <w:sz w:val="18"/>
                <w:szCs w:val="18"/>
              </w:rPr>
              <w:t>Text</w:t>
            </w:r>
            <w:r>
              <w:rPr>
                <w:rFonts w:hint="eastAsia" w:hAnsi="宋体"/>
                <w:kern w:val="0"/>
                <w:sz w:val="18"/>
                <w:szCs w:val="18"/>
              </w:rPr>
              <w:t>中单词、短语以及文章中的长难句；</w:t>
            </w:r>
          </w:p>
          <w:p>
            <w:pPr>
              <w:snapToGrid w:val="0"/>
              <w:spacing w:line="288" w:lineRule="auto"/>
              <w:rPr>
                <w:rFonts w:hAnsi="宋体"/>
                <w:kern w:val="0"/>
                <w:sz w:val="18"/>
                <w:szCs w:val="18"/>
              </w:rPr>
            </w:pPr>
            <w:r>
              <w:rPr>
                <w:rFonts w:hAnsi="宋体"/>
                <w:kern w:val="0"/>
                <w:sz w:val="18"/>
                <w:szCs w:val="18"/>
              </w:rPr>
              <w:t>2)</w:t>
            </w:r>
            <w:r>
              <w:rPr>
                <w:rFonts w:hint="eastAsia" w:hAnsi="宋体"/>
                <w:kern w:val="0"/>
                <w:sz w:val="18"/>
                <w:szCs w:val="18"/>
              </w:rPr>
              <w:t>熟悉文章中的背景知识：美国习语“与左邻右舍攀比”的内涵意思；当代美国社会的消费观；</w:t>
            </w:r>
          </w:p>
          <w:p>
            <w:pPr>
              <w:snapToGrid w:val="0"/>
              <w:spacing w:line="288" w:lineRule="auto"/>
              <w:rPr>
                <w:rFonts w:hAnsi="宋体"/>
                <w:kern w:val="0"/>
                <w:sz w:val="18"/>
                <w:szCs w:val="18"/>
              </w:rPr>
            </w:pPr>
            <w:r>
              <w:rPr>
                <w:rFonts w:hAnsi="宋体"/>
                <w:kern w:val="0"/>
                <w:sz w:val="18"/>
                <w:szCs w:val="18"/>
              </w:rPr>
              <w:t>3)</w:t>
            </w:r>
            <w:r>
              <w:rPr>
                <w:rFonts w:hint="eastAsia" w:hAnsi="宋体"/>
                <w:kern w:val="0"/>
                <w:sz w:val="18"/>
                <w:szCs w:val="18"/>
              </w:rPr>
              <w:t>让学生明白炫耀性消费对人们生活的影响以及树立正确对消费观的重要性；</w:t>
            </w:r>
          </w:p>
          <w:p>
            <w:pPr>
              <w:snapToGrid w:val="0"/>
              <w:spacing w:line="288" w:lineRule="auto"/>
              <w:rPr>
                <w:rFonts w:hAnsi="宋体"/>
                <w:kern w:val="0"/>
                <w:sz w:val="18"/>
                <w:szCs w:val="18"/>
              </w:rPr>
            </w:pPr>
            <w:r>
              <w:rPr>
                <w:rFonts w:hint="eastAsia" w:hAnsi="宋体"/>
                <w:kern w:val="0"/>
                <w:sz w:val="18"/>
                <w:szCs w:val="18"/>
              </w:rPr>
              <w:t>能力目标：</w:t>
            </w:r>
          </w:p>
          <w:p>
            <w:pPr>
              <w:snapToGrid w:val="0"/>
              <w:spacing w:line="288" w:lineRule="auto"/>
              <w:rPr>
                <w:rFonts w:hAnsi="宋体"/>
                <w:kern w:val="0"/>
                <w:sz w:val="18"/>
                <w:szCs w:val="18"/>
              </w:rPr>
            </w:pPr>
            <w:r>
              <w:rPr>
                <w:rFonts w:hAnsi="宋体"/>
                <w:kern w:val="0"/>
                <w:sz w:val="18"/>
                <w:szCs w:val="18"/>
              </w:rPr>
              <w:t>1)</w:t>
            </w:r>
            <w:r>
              <w:rPr>
                <w:rFonts w:hint="eastAsia" w:hAnsi="宋体"/>
                <w:kern w:val="0"/>
                <w:sz w:val="18"/>
                <w:szCs w:val="18"/>
              </w:rPr>
              <w:t>运用阅读法掌握文章的主题：</w:t>
            </w:r>
          </w:p>
          <w:p>
            <w:pPr>
              <w:rPr>
                <w:rFonts w:hAnsi="宋体"/>
                <w:kern w:val="0"/>
                <w:sz w:val="18"/>
                <w:szCs w:val="18"/>
              </w:rPr>
            </w:pPr>
            <w:r>
              <w:rPr>
                <w:rFonts w:hAnsi="宋体"/>
                <w:kern w:val="0"/>
                <w:sz w:val="18"/>
                <w:szCs w:val="18"/>
              </w:rPr>
              <w:t>2)</w:t>
            </w:r>
            <w:r>
              <w:rPr>
                <w:rFonts w:hint="eastAsia" w:hAnsi="宋体"/>
                <w:kern w:val="0"/>
                <w:sz w:val="18"/>
                <w:szCs w:val="18"/>
              </w:rPr>
              <w:t>欣赏作者的写作技巧：因果关系法和过程分析法；</w:t>
            </w:r>
          </w:p>
          <w:p>
            <w:pPr>
              <w:snapToGrid w:val="0"/>
              <w:spacing w:line="288" w:lineRule="auto"/>
              <w:ind w:left="90" w:hanging="90" w:hangingChars="50"/>
              <w:rPr>
                <w:rFonts w:hAnsi="宋体"/>
                <w:kern w:val="0"/>
                <w:sz w:val="18"/>
                <w:szCs w:val="18"/>
              </w:rPr>
            </w:pPr>
            <w:r>
              <w:rPr>
                <w:rFonts w:hAnsi="宋体"/>
                <w:kern w:val="0"/>
                <w:sz w:val="18"/>
                <w:szCs w:val="18"/>
              </w:rPr>
              <w:t>3)</w:t>
            </w:r>
            <w:r>
              <w:rPr>
                <w:rFonts w:hint="eastAsia" w:hAnsi="宋体"/>
                <w:kern w:val="0"/>
                <w:sz w:val="18"/>
                <w:szCs w:val="18"/>
              </w:rPr>
              <w:t>训练学生通过抓住重要的细节以及对语篇的主旨大意来提高听力练习；</w:t>
            </w:r>
          </w:p>
          <w:p>
            <w:pPr>
              <w:snapToGrid w:val="0"/>
              <w:spacing w:line="288" w:lineRule="auto"/>
              <w:ind w:left="90" w:hanging="90" w:hangingChars="50"/>
              <w:rPr>
                <w:rFonts w:hAnsi="宋体"/>
                <w:kern w:val="0"/>
                <w:sz w:val="18"/>
                <w:szCs w:val="18"/>
              </w:rPr>
            </w:pPr>
            <w:r>
              <w:rPr>
                <w:rFonts w:hAnsi="宋体"/>
                <w:kern w:val="0"/>
                <w:sz w:val="18"/>
                <w:szCs w:val="18"/>
              </w:rPr>
              <w:t>4)</w:t>
            </w:r>
            <w:r>
              <w:rPr>
                <w:rFonts w:hint="eastAsia" w:hAnsi="宋体"/>
                <w:kern w:val="0"/>
                <w:sz w:val="18"/>
                <w:szCs w:val="18"/>
              </w:rPr>
              <w:t>利用略读法以及扫读法能在规定的时间内完成</w:t>
            </w:r>
            <w:r>
              <w:rPr>
                <w:rFonts w:hAnsi="宋体"/>
                <w:kern w:val="0"/>
                <w:sz w:val="18"/>
                <w:szCs w:val="18"/>
              </w:rPr>
              <w:t>10</w:t>
            </w:r>
            <w:r>
              <w:rPr>
                <w:rFonts w:hint="eastAsia" w:hAnsi="宋体"/>
                <w:kern w:val="0"/>
                <w:sz w:val="18"/>
                <w:szCs w:val="18"/>
              </w:rPr>
              <w:t>道题目的训练；</w:t>
            </w:r>
          </w:p>
          <w:p>
            <w:pPr>
              <w:snapToGrid w:val="0"/>
              <w:spacing w:line="288" w:lineRule="auto"/>
              <w:rPr>
                <w:rFonts w:hAnsi="宋体"/>
                <w:kern w:val="0"/>
                <w:sz w:val="18"/>
                <w:szCs w:val="18"/>
              </w:rPr>
            </w:pPr>
            <w:r>
              <w:rPr>
                <w:rFonts w:hint="eastAsia" w:hAnsi="宋体"/>
                <w:kern w:val="0"/>
                <w:sz w:val="18"/>
                <w:szCs w:val="18"/>
              </w:rPr>
              <w:t>情感目标：通过学习炫耀性消费行为是如何产生以及该行为对社会产生的可能影响，让学生理性消费的重要性。当代的大学生应该培养正确的消费观念，养成良好的消费习惯。</w:t>
            </w:r>
          </w:p>
          <w:p>
            <w:pPr>
              <w:snapToGrid w:val="0"/>
              <w:spacing w:line="288" w:lineRule="auto"/>
              <w:rPr>
                <w:rFonts w:hAnsi="宋体"/>
                <w:kern w:val="0"/>
                <w:sz w:val="18"/>
                <w:szCs w:val="18"/>
              </w:rPr>
            </w:pPr>
            <w:r>
              <w:rPr>
                <w:rFonts w:hint="eastAsia" w:hAnsi="宋体"/>
                <w:kern w:val="0"/>
                <w:sz w:val="18"/>
                <w:szCs w:val="18"/>
              </w:rPr>
              <w:t>教学难点：</w:t>
            </w:r>
          </w:p>
          <w:p>
            <w:pPr>
              <w:snapToGrid w:val="0"/>
              <w:spacing w:line="288" w:lineRule="auto"/>
              <w:rPr>
                <w:rFonts w:hAnsi="宋体"/>
                <w:kern w:val="0"/>
                <w:sz w:val="18"/>
                <w:szCs w:val="18"/>
              </w:rPr>
            </w:pPr>
            <w:r>
              <w:rPr>
                <w:rFonts w:hAnsi="宋体"/>
                <w:kern w:val="0"/>
                <w:sz w:val="18"/>
                <w:szCs w:val="18"/>
              </w:rPr>
              <w:t>1)</w:t>
            </w:r>
            <w:r>
              <w:rPr>
                <w:rFonts w:hint="eastAsia" w:hAnsi="宋体"/>
                <w:kern w:val="0"/>
                <w:sz w:val="18"/>
                <w:szCs w:val="18"/>
              </w:rPr>
              <w:t>理解文章的主旨大意；</w:t>
            </w:r>
          </w:p>
          <w:p>
            <w:pPr>
              <w:snapToGrid w:val="0"/>
              <w:spacing w:line="288" w:lineRule="auto"/>
              <w:rPr>
                <w:rFonts w:hAnsi="宋体"/>
                <w:kern w:val="0"/>
                <w:sz w:val="18"/>
                <w:szCs w:val="18"/>
              </w:rPr>
            </w:pPr>
            <w:r>
              <w:rPr>
                <w:rFonts w:hAnsi="宋体"/>
                <w:kern w:val="0"/>
                <w:sz w:val="18"/>
                <w:szCs w:val="18"/>
              </w:rPr>
              <w:t>2)</w:t>
            </w:r>
            <w:r>
              <w:rPr>
                <w:rFonts w:hint="eastAsia" w:hAnsi="宋体"/>
                <w:kern w:val="0"/>
                <w:sz w:val="18"/>
                <w:szCs w:val="18"/>
              </w:rPr>
              <w:t>找到课文中每一段的主题句；</w:t>
            </w:r>
          </w:p>
          <w:p>
            <w:pPr>
              <w:snapToGrid w:val="0"/>
              <w:spacing w:line="288" w:lineRule="auto"/>
              <w:ind w:left="180" w:hanging="180" w:hangingChars="100"/>
              <w:rPr>
                <w:rFonts w:hAnsi="宋体"/>
                <w:kern w:val="0"/>
                <w:sz w:val="18"/>
                <w:szCs w:val="18"/>
              </w:rPr>
            </w:pPr>
            <w:r>
              <w:rPr>
                <w:rFonts w:hAnsi="宋体"/>
                <w:kern w:val="0"/>
                <w:sz w:val="18"/>
                <w:szCs w:val="18"/>
              </w:rPr>
              <w:t>3)</w:t>
            </w:r>
            <w:r>
              <w:rPr>
                <w:rFonts w:hint="eastAsia" w:hAnsi="宋体"/>
                <w:kern w:val="0"/>
                <w:sz w:val="18"/>
                <w:szCs w:val="18"/>
              </w:rPr>
              <w:t>掌握本单元的重点单词、短语以及它们在具体语境中的应用；</w:t>
            </w:r>
          </w:p>
          <w:p>
            <w:pPr>
              <w:snapToGrid w:val="0"/>
              <w:spacing w:line="288" w:lineRule="auto"/>
              <w:ind w:left="180" w:hanging="180" w:hangingChars="100"/>
              <w:rPr>
                <w:rFonts w:hAnsi="宋体"/>
                <w:kern w:val="0"/>
                <w:sz w:val="18"/>
                <w:szCs w:val="18"/>
              </w:rPr>
            </w:pPr>
            <w:r>
              <w:rPr>
                <w:rFonts w:hAnsi="宋体"/>
                <w:kern w:val="0"/>
                <w:sz w:val="18"/>
                <w:szCs w:val="18"/>
              </w:rPr>
              <w:t>4)</w:t>
            </w:r>
            <w:r>
              <w:rPr>
                <w:rFonts w:hint="eastAsia" w:hAnsi="宋体"/>
                <w:kern w:val="0"/>
                <w:sz w:val="18"/>
                <w:szCs w:val="18"/>
              </w:rPr>
              <w:t>运用说明文体裁来解说事物，阐释事理；</w:t>
            </w:r>
          </w:p>
          <w:p>
            <w:pPr>
              <w:widowControl/>
              <w:rPr>
                <w:rFonts w:ascii="宋体" w:cs="Arial"/>
                <w:b/>
                <w:kern w:val="0"/>
                <w:sz w:val="18"/>
                <w:szCs w:val="18"/>
              </w:rPr>
            </w:pPr>
            <w:r>
              <w:rPr>
                <w:rFonts w:hAnsi="宋体"/>
                <w:kern w:val="0"/>
                <w:sz w:val="18"/>
                <w:szCs w:val="18"/>
              </w:rPr>
              <w:t>5)</w:t>
            </w:r>
            <w:r>
              <w:rPr>
                <w:rFonts w:hint="eastAsia" w:hAnsi="宋体"/>
                <w:kern w:val="0"/>
                <w:sz w:val="18"/>
                <w:szCs w:val="18"/>
              </w:rPr>
              <w:t>运用略读法以及扫读法提高答题技巧；</w:t>
            </w:r>
          </w:p>
        </w:tc>
        <w:tc>
          <w:tcPr>
            <w:tcW w:w="3686" w:type="dxa"/>
          </w:tcPr>
          <w:p>
            <w:pPr>
              <w:widowControl/>
              <w:rPr>
                <w:kern w:val="0"/>
                <w:sz w:val="18"/>
                <w:szCs w:val="18"/>
              </w:rPr>
            </w:pPr>
            <w:r>
              <w:rPr>
                <w:rFonts w:hint="eastAsia"/>
                <w:kern w:val="0"/>
                <w:sz w:val="18"/>
                <w:szCs w:val="18"/>
              </w:rPr>
              <w:t>掌握重点单词、短语和句型；</w:t>
            </w:r>
          </w:p>
          <w:p>
            <w:pPr>
              <w:widowControl/>
              <w:rPr>
                <w:kern w:val="0"/>
                <w:sz w:val="18"/>
                <w:szCs w:val="18"/>
              </w:rPr>
            </w:pPr>
            <w:r>
              <w:rPr>
                <w:rFonts w:hint="eastAsia"/>
                <w:kern w:val="0"/>
                <w:sz w:val="18"/>
                <w:szCs w:val="18"/>
              </w:rPr>
              <w:t>知道文章中涉及的相关背景知识；</w:t>
            </w:r>
          </w:p>
          <w:p>
            <w:pPr>
              <w:widowControl/>
              <w:rPr>
                <w:kern w:val="0"/>
                <w:sz w:val="18"/>
                <w:szCs w:val="18"/>
              </w:rPr>
            </w:pPr>
            <w:r>
              <w:rPr>
                <w:rFonts w:hint="eastAsia"/>
                <w:kern w:val="0"/>
                <w:sz w:val="18"/>
                <w:szCs w:val="18"/>
              </w:rPr>
              <w:t>运用因果关系法和过程分析法：利用因果关系分析法（由果推因或由因推果）来解释某个闲暇的存在必然引起另一个现象的发生；利用过程分析法把事物发展过程分为若干步骤，并逐一加以分析。</w:t>
            </w:r>
          </w:p>
          <w:p>
            <w:pPr>
              <w:widowControl/>
              <w:rPr>
                <w:rFonts w:ascii="宋体"/>
                <w:sz w:val="18"/>
                <w:szCs w:val="18"/>
              </w:rPr>
            </w:pPr>
            <w:r>
              <w:rPr>
                <w:rFonts w:hint="eastAsia" w:ascii="宋体" w:hAnsi="宋体"/>
                <w:sz w:val="18"/>
                <w:szCs w:val="18"/>
              </w:rPr>
              <w:t>能够借助文化常识</w:t>
            </w:r>
            <w:r>
              <w:rPr>
                <w:rFonts w:hint="eastAsia" w:ascii="宋体" w:hAnsi="宋体"/>
                <w:sz w:val="18"/>
                <w:szCs w:val="18"/>
                <w:lang w:val="zh-CN"/>
              </w:rPr>
              <w:t>理解全文大意</w:t>
            </w:r>
            <w:r>
              <w:rPr>
                <w:rFonts w:hint="eastAsia" w:ascii="宋体" w:hAnsi="宋体"/>
                <w:sz w:val="18"/>
                <w:szCs w:val="18"/>
              </w:rPr>
              <w:t>；</w:t>
            </w:r>
          </w:p>
          <w:p>
            <w:pPr>
              <w:widowControl/>
              <w:rPr>
                <w:rFonts w:ascii="宋体"/>
                <w:sz w:val="18"/>
                <w:szCs w:val="18"/>
              </w:rPr>
            </w:pPr>
            <w:r>
              <w:rPr>
                <w:rFonts w:hint="eastAsia"/>
                <w:sz w:val="18"/>
                <w:szCs w:val="18"/>
              </w:rPr>
              <w:t>引导学生学习并掌握课文中作者运用不同的手法来阐述自己的观点：因果关系法和过程分析法。</w:t>
            </w:r>
          </w:p>
          <w:p>
            <w:pPr>
              <w:widowControl/>
              <w:rPr>
                <w:rFonts w:ascii="宋体"/>
                <w:sz w:val="18"/>
                <w:szCs w:val="18"/>
              </w:rPr>
            </w:pPr>
            <w:r>
              <w:rPr>
                <w:rFonts w:hint="eastAsia" w:ascii="宋体" w:hAnsi="宋体"/>
                <w:sz w:val="18"/>
                <w:szCs w:val="18"/>
              </w:rPr>
              <w:t>了解当代美国社会的消费观以及中国“富二代”的现象；</w:t>
            </w:r>
          </w:p>
          <w:p>
            <w:pPr>
              <w:snapToGrid w:val="0"/>
              <w:spacing w:line="288" w:lineRule="auto"/>
              <w:rPr>
                <w:sz w:val="18"/>
                <w:szCs w:val="18"/>
              </w:rPr>
            </w:pPr>
            <w:r>
              <w:rPr>
                <w:rFonts w:hint="eastAsia" w:ascii="宋体" w:hAnsi="宋体"/>
                <w:sz w:val="18"/>
                <w:szCs w:val="18"/>
              </w:rPr>
              <w:t>听懂有关“消费理念”</w:t>
            </w:r>
            <w:r>
              <w:rPr>
                <w:rFonts w:ascii="宋体" w:hAnsi="宋体"/>
                <w:sz w:val="18"/>
                <w:szCs w:val="18"/>
              </w:rPr>
              <w:t xml:space="preserve"> </w:t>
            </w:r>
            <w:r>
              <w:rPr>
                <w:rFonts w:hint="eastAsia" w:ascii="宋体" w:hAnsi="宋体"/>
                <w:sz w:val="18"/>
                <w:szCs w:val="18"/>
              </w:rPr>
              <w:t>的话题，把握文章中重点细节的知识。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53" w:type="dxa"/>
          </w:tcPr>
          <w:p>
            <w:pPr>
              <w:snapToGrid w:val="0"/>
              <w:spacing w:line="288" w:lineRule="auto"/>
              <w:ind w:firstLine="180" w:firstLineChars="100"/>
              <w:rPr>
                <w:sz w:val="18"/>
                <w:szCs w:val="18"/>
              </w:rPr>
            </w:pPr>
            <w:r>
              <w:rPr>
                <w:sz w:val="18"/>
                <w:szCs w:val="18"/>
              </w:rPr>
              <w:t>3</w:t>
            </w:r>
          </w:p>
        </w:tc>
        <w:tc>
          <w:tcPr>
            <w:tcW w:w="3733" w:type="dxa"/>
          </w:tcPr>
          <w:p>
            <w:pPr>
              <w:snapToGrid w:val="0"/>
              <w:spacing w:line="288" w:lineRule="auto"/>
              <w:rPr>
                <w:rFonts w:hAnsi="宋体"/>
                <w:kern w:val="0"/>
                <w:sz w:val="18"/>
                <w:szCs w:val="18"/>
              </w:rPr>
            </w:pPr>
            <w:r>
              <w:rPr>
                <w:rFonts w:hint="eastAsia" w:hAnsi="宋体"/>
                <w:kern w:val="0"/>
                <w:sz w:val="18"/>
                <w:szCs w:val="18"/>
              </w:rPr>
              <w:t>知识目标：</w:t>
            </w:r>
          </w:p>
          <w:p>
            <w:pPr>
              <w:snapToGrid w:val="0"/>
              <w:spacing w:line="288" w:lineRule="auto"/>
              <w:ind w:left="90" w:hanging="90" w:hangingChars="50"/>
              <w:rPr>
                <w:rFonts w:hAnsi="宋体"/>
                <w:kern w:val="0"/>
                <w:sz w:val="18"/>
                <w:szCs w:val="18"/>
              </w:rPr>
            </w:pPr>
            <w:r>
              <w:rPr>
                <w:rFonts w:hAnsi="宋体"/>
                <w:kern w:val="0"/>
                <w:sz w:val="18"/>
                <w:szCs w:val="18"/>
              </w:rPr>
              <w:t>1)</w:t>
            </w:r>
            <w:r>
              <w:rPr>
                <w:rFonts w:hint="eastAsia" w:hAnsi="宋体"/>
                <w:kern w:val="0"/>
                <w:sz w:val="18"/>
                <w:szCs w:val="18"/>
              </w:rPr>
              <w:t>学习</w:t>
            </w:r>
            <w:r>
              <w:rPr>
                <w:rFonts w:hAnsi="宋体"/>
                <w:kern w:val="0"/>
                <w:sz w:val="18"/>
                <w:szCs w:val="18"/>
              </w:rPr>
              <w:t>Text</w:t>
            </w:r>
            <w:r>
              <w:rPr>
                <w:rFonts w:hint="eastAsia" w:hAnsi="宋体"/>
                <w:kern w:val="0"/>
                <w:sz w:val="18"/>
                <w:szCs w:val="18"/>
              </w:rPr>
              <w:t>中单词、短语以及文章中的长难句；</w:t>
            </w:r>
          </w:p>
          <w:p>
            <w:pPr>
              <w:snapToGrid w:val="0"/>
              <w:spacing w:line="288" w:lineRule="auto"/>
              <w:rPr>
                <w:rFonts w:hAnsi="宋体"/>
                <w:kern w:val="0"/>
                <w:sz w:val="18"/>
                <w:szCs w:val="18"/>
              </w:rPr>
            </w:pPr>
            <w:r>
              <w:rPr>
                <w:rFonts w:hAnsi="宋体"/>
                <w:kern w:val="0"/>
                <w:sz w:val="18"/>
                <w:szCs w:val="18"/>
              </w:rPr>
              <w:t>2)</w:t>
            </w:r>
            <w:r>
              <w:rPr>
                <w:rFonts w:hint="eastAsia" w:hAnsi="宋体"/>
                <w:kern w:val="0"/>
                <w:sz w:val="18"/>
                <w:szCs w:val="18"/>
              </w:rPr>
              <w:t>熟悉文章中的背景知识：文化差异、文化差异原因、跨文化沟通</w:t>
            </w:r>
          </w:p>
          <w:p>
            <w:pPr>
              <w:snapToGrid w:val="0"/>
              <w:spacing w:line="288" w:lineRule="auto"/>
              <w:rPr>
                <w:rFonts w:hAnsi="宋体"/>
                <w:kern w:val="0"/>
                <w:sz w:val="18"/>
                <w:szCs w:val="18"/>
              </w:rPr>
            </w:pPr>
            <w:r>
              <w:rPr>
                <w:rFonts w:hAnsi="宋体"/>
                <w:kern w:val="0"/>
                <w:sz w:val="18"/>
                <w:szCs w:val="18"/>
              </w:rPr>
              <w:t>3)</w:t>
            </w:r>
            <w:r>
              <w:rPr>
                <w:rFonts w:hint="eastAsia" w:hAnsi="宋体"/>
                <w:kern w:val="0"/>
                <w:sz w:val="18"/>
                <w:szCs w:val="18"/>
              </w:rPr>
              <w:t>了解跨文化差异，掌握跨文化沟通方式；</w:t>
            </w:r>
          </w:p>
          <w:p>
            <w:pPr>
              <w:snapToGrid w:val="0"/>
              <w:spacing w:line="288" w:lineRule="auto"/>
              <w:rPr>
                <w:rFonts w:hAnsi="宋体"/>
                <w:kern w:val="0"/>
                <w:sz w:val="18"/>
                <w:szCs w:val="18"/>
              </w:rPr>
            </w:pPr>
            <w:r>
              <w:rPr>
                <w:rFonts w:hint="eastAsia" w:hAnsi="宋体"/>
                <w:kern w:val="0"/>
                <w:sz w:val="18"/>
                <w:szCs w:val="18"/>
              </w:rPr>
              <w:t>能力目标：</w:t>
            </w:r>
          </w:p>
          <w:p>
            <w:pPr>
              <w:snapToGrid w:val="0"/>
              <w:spacing w:line="288" w:lineRule="auto"/>
              <w:rPr>
                <w:rFonts w:hAnsi="宋体"/>
                <w:kern w:val="0"/>
                <w:sz w:val="18"/>
                <w:szCs w:val="18"/>
              </w:rPr>
            </w:pPr>
            <w:r>
              <w:rPr>
                <w:rFonts w:hAnsi="宋体"/>
                <w:kern w:val="0"/>
                <w:sz w:val="18"/>
                <w:szCs w:val="18"/>
              </w:rPr>
              <w:t>1)</w:t>
            </w:r>
            <w:r>
              <w:rPr>
                <w:rFonts w:hint="eastAsia" w:hAnsi="宋体"/>
                <w:kern w:val="0"/>
                <w:sz w:val="18"/>
                <w:szCs w:val="18"/>
              </w:rPr>
              <w:t>运用阅读法掌握文章的主题：</w:t>
            </w:r>
          </w:p>
          <w:p>
            <w:pPr>
              <w:rPr>
                <w:rFonts w:hAnsi="宋体"/>
                <w:kern w:val="0"/>
                <w:sz w:val="18"/>
                <w:szCs w:val="18"/>
              </w:rPr>
            </w:pPr>
            <w:r>
              <w:rPr>
                <w:rFonts w:hAnsi="宋体"/>
                <w:kern w:val="0"/>
                <w:sz w:val="18"/>
                <w:szCs w:val="18"/>
              </w:rPr>
              <w:t>2)</w:t>
            </w:r>
            <w:r>
              <w:rPr>
                <w:rFonts w:hint="eastAsia" w:hAnsi="宋体"/>
                <w:kern w:val="0"/>
                <w:sz w:val="18"/>
                <w:szCs w:val="18"/>
              </w:rPr>
              <w:t>欣赏作者的写作技巧；</w:t>
            </w:r>
          </w:p>
          <w:p>
            <w:pPr>
              <w:snapToGrid w:val="0"/>
              <w:spacing w:line="288" w:lineRule="auto"/>
              <w:ind w:left="90" w:hanging="90" w:hangingChars="50"/>
              <w:rPr>
                <w:rFonts w:hAnsi="宋体"/>
                <w:kern w:val="0"/>
                <w:sz w:val="18"/>
                <w:szCs w:val="18"/>
              </w:rPr>
            </w:pPr>
            <w:r>
              <w:rPr>
                <w:rFonts w:hAnsi="宋体"/>
                <w:kern w:val="0"/>
                <w:sz w:val="18"/>
                <w:szCs w:val="18"/>
              </w:rPr>
              <w:t>3)</w:t>
            </w:r>
            <w:r>
              <w:rPr>
                <w:rFonts w:hint="eastAsia" w:hAnsi="宋体"/>
                <w:kern w:val="0"/>
                <w:sz w:val="18"/>
                <w:szCs w:val="18"/>
              </w:rPr>
              <w:t>训练学生通过抓住重要的细节以及对语篇的主旨大意来提高听力练习；</w:t>
            </w:r>
          </w:p>
          <w:p>
            <w:pPr>
              <w:snapToGrid w:val="0"/>
              <w:spacing w:line="288" w:lineRule="auto"/>
              <w:ind w:left="90" w:hanging="90" w:hangingChars="50"/>
              <w:rPr>
                <w:rFonts w:hAnsi="宋体"/>
                <w:kern w:val="0"/>
                <w:sz w:val="18"/>
                <w:szCs w:val="18"/>
              </w:rPr>
            </w:pPr>
            <w:r>
              <w:rPr>
                <w:rFonts w:hAnsi="宋体"/>
                <w:kern w:val="0"/>
                <w:sz w:val="18"/>
                <w:szCs w:val="18"/>
              </w:rPr>
              <w:t>4)</w:t>
            </w:r>
            <w:r>
              <w:rPr>
                <w:rFonts w:hint="eastAsia" w:hAnsi="宋体"/>
                <w:kern w:val="0"/>
                <w:sz w:val="18"/>
                <w:szCs w:val="18"/>
              </w:rPr>
              <w:t>利用略读法以及扫读法能在规定的时间内完成</w:t>
            </w:r>
            <w:r>
              <w:rPr>
                <w:rFonts w:hAnsi="宋体"/>
                <w:kern w:val="0"/>
                <w:sz w:val="18"/>
                <w:szCs w:val="18"/>
              </w:rPr>
              <w:t>10</w:t>
            </w:r>
            <w:r>
              <w:rPr>
                <w:rFonts w:hint="eastAsia" w:hAnsi="宋体"/>
                <w:kern w:val="0"/>
                <w:sz w:val="18"/>
                <w:szCs w:val="18"/>
              </w:rPr>
              <w:t>道题目的训练；</w:t>
            </w:r>
          </w:p>
          <w:p>
            <w:pPr>
              <w:snapToGrid w:val="0"/>
              <w:spacing w:line="288" w:lineRule="auto"/>
              <w:rPr>
                <w:rFonts w:hAnsi="宋体"/>
                <w:kern w:val="0"/>
                <w:sz w:val="18"/>
                <w:szCs w:val="18"/>
              </w:rPr>
            </w:pPr>
            <w:r>
              <w:rPr>
                <w:rFonts w:hint="eastAsia" w:hAnsi="宋体"/>
                <w:kern w:val="0"/>
                <w:sz w:val="18"/>
                <w:szCs w:val="18"/>
              </w:rPr>
              <w:t>情感目标：通过跨文化的学习，学生开阔眼界，努力提升跨文化沟通能力，提升跨文化技巧以及情商，为以后的工作和交友大侠坚实基础。</w:t>
            </w:r>
          </w:p>
          <w:p>
            <w:pPr>
              <w:snapToGrid w:val="0"/>
              <w:spacing w:line="288" w:lineRule="auto"/>
              <w:rPr>
                <w:rFonts w:hAnsi="宋体"/>
                <w:kern w:val="0"/>
                <w:sz w:val="18"/>
                <w:szCs w:val="18"/>
              </w:rPr>
            </w:pPr>
            <w:r>
              <w:rPr>
                <w:rFonts w:hint="eastAsia" w:hAnsi="宋体"/>
                <w:kern w:val="0"/>
                <w:sz w:val="18"/>
                <w:szCs w:val="18"/>
              </w:rPr>
              <w:t>教学难点：</w:t>
            </w:r>
          </w:p>
          <w:p>
            <w:pPr>
              <w:snapToGrid w:val="0"/>
              <w:spacing w:line="288" w:lineRule="auto"/>
              <w:rPr>
                <w:rFonts w:hAnsi="宋体"/>
                <w:kern w:val="0"/>
                <w:sz w:val="18"/>
                <w:szCs w:val="18"/>
              </w:rPr>
            </w:pPr>
            <w:r>
              <w:rPr>
                <w:rFonts w:hAnsi="宋体"/>
                <w:kern w:val="0"/>
                <w:sz w:val="18"/>
                <w:szCs w:val="18"/>
              </w:rPr>
              <w:t>1)</w:t>
            </w:r>
            <w:r>
              <w:rPr>
                <w:rFonts w:hint="eastAsia" w:hAnsi="宋体"/>
                <w:kern w:val="0"/>
                <w:sz w:val="18"/>
                <w:szCs w:val="18"/>
              </w:rPr>
              <w:t>理解文章的主旨大意；</w:t>
            </w:r>
          </w:p>
          <w:p>
            <w:pPr>
              <w:snapToGrid w:val="0"/>
              <w:spacing w:line="288" w:lineRule="auto"/>
              <w:rPr>
                <w:rFonts w:hAnsi="宋体"/>
                <w:kern w:val="0"/>
                <w:sz w:val="18"/>
                <w:szCs w:val="18"/>
              </w:rPr>
            </w:pPr>
            <w:r>
              <w:rPr>
                <w:rFonts w:hAnsi="宋体"/>
                <w:kern w:val="0"/>
                <w:sz w:val="18"/>
                <w:szCs w:val="18"/>
              </w:rPr>
              <w:t>2)</w:t>
            </w:r>
            <w:r>
              <w:rPr>
                <w:rFonts w:hint="eastAsia" w:hAnsi="宋体"/>
                <w:kern w:val="0"/>
                <w:sz w:val="18"/>
                <w:szCs w:val="18"/>
              </w:rPr>
              <w:t>找到课文中每一段的主题句；</w:t>
            </w:r>
          </w:p>
          <w:p>
            <w:pPr>
              <w:snapToGrid w:val="0"/>
              <w:spacing w:line="288" w:lineRule="auto"/>
              <w:ind w:left="180" w:hanging="180" w:hangingChars="100"/>
              <w:rPr>
                <w:rFonts w:hAnsi="宋体"/>
                <w:kern w:val="0"/>
                <w:sz w:val="18"/>
                <w:szCs w:val="18"/>
              </w:rPr>
            </w:pPr>
            <w:r>
              <w:rPr>
                <w:rFonts w:hAnsi="宋体"/>
                <w:kern w:val="0"/>
                <w:sz w:val="18"/>
                <w:szCs w:val="18"/>
              </w:rPr>
              <w:t>3)</w:t>
            </w:r>
            <w:r>
              <w:rPr>
                <w:rFonts w:hint="eastAsia" w:hAnsi="宋体"/>
                <w:kern w:val="0"/>
                <w:sz w:val="18"/>
                <w:szCs w:val="18"/>
              </w:rPr>
              <w:t>掌握本单元的重点单词、短语以及它们在具体语境中的应用；；</w:t>
            </w:r>
          </w:p>
          <w:p>
            <w:pPr>
              <w:spacing w:line="288" w:lineRule="auto"/>
              <w:rPr>
                <w:sz w:val="18"/>
                <w:szCs w:val="18"/>
              </w:rPr>
            </w:pPr>
            <w:r>
              <w:rPr>
                <w:rFonts w:hAnsi="宋体"/>
                <w:kern w:val="0"/>
                <w:sz w:val="18"/>
                <w:szCs w:val="18"/>
              </w:rPr>
              <w:t>4)</w:t>
            </w:r>
            <w:r>
              <w:rPr>
                <w:rFonts w:hint="eastAsia" w:hAnsi="宋体"/>
                <w:kern w:val="0"/>
                <w:sz w:val="18"/>
                <w:szCs w:val="18"/>
              </w:rPr>
              <w:t>运用略读法以及扫读法提高答题技巧；</w:t>
            </w:r>
          </w:p>
        </w:tc>
        <w:tc>
          <w:tcPr>
            <w:tcW w:w="3686" w:type="dxa"/>
          </w:tcPr>
          <w:p>
            <w:pPr>
              <w:widowControl/>
              <w:rPr>
                <w:kern w:val="0"/>
                <w:sz w:val="18"/>
                <w:szCs w:val="18"/>
              </w:rPr>
            </w:pPr>
            <w:r>
              <w:rPr>
                <w:rFonts w:hint="eastAsia"/>
                <w:kern w:val="0"/>
                <w:sz w:val="18"/>
                <w:szCs w:val="18"/>
              </w:rPr>
              <w:t>掌握重点单词、短语和句型；</w:t>
            </w:r>
          </w:p>
          <w:p>
            <w:pPr>
              <w:widowControl/>
              <w:rPr>
                <w:kern w:val="0"/>
                <w:sz w:val="18"/>
                <w:szCs w:val="18"/>
              </w:rPr>
            </w:pPr>
            <w:r>
              <w:rPr>
                <w:rFonts w:hint="eastAsia"/>
                <w:kern w:val="0"/>
                <w:sz w:val="18"/>
                <w:szCs w:val="18"/>
              </w:rPr>
              <w:t>知道文章中涉及的相关背景知识；</w:t>
            </w:r>
            <w:r>
              <w:rPr>
                <w:rFonts w:hint="eastAsia" w:ascii="宋体" w:hAnsi="宋体"/>
                <w:sz w:val="18"/>
                <w:szCs w:val="18"/>
              </w:rPr>
              <w:t>；</w:t>
            </w:r>
          </w:p>
          <w:p>
            <w:pPr>
              <w:widowControl/>
              <w:rPr>
                <w:rFonts w:ascii="宋体"/>
                <w:sz w:val="18"/>
                <w:szCs w:val="18"/>
              </w:rPr>
            </w:pPr>
            <w:r>
              <w:rPr>
                <w:rFonts w:hint="eastAsia"/>
                <w:sz w:val="18"/>
                <w:szCs w:val="18"/>
              </w:rPr>
              <w:t>引导学生学习并掌握课文中作者运用不同的手法来阐述自己的观点：对比与比较。</w:t>
            </w:r>
          </w:p>
          <w:p>
            <w:pPr>
              <w:widowControl/>
              <w:rPr>
                <w:rFonts w:ascii="宋体"/>
                <w:sz w:val="18"/>
                <w:szCs w:val="18"/>
              </w:rPr>
            </w:pPr>
            <w:r>
              <w:rPr>
                <w:rFonts w:hint="eastAsia" w:ascii="宋体" w:hAnsi="宋体"/>
                <w:sz w:val="18"/>
                <w:szCs w:val="18"/>
              </w:rPr>
              <w:t>能够用跨文化的思维思考问题，分析跨文化现象，提出跨文化沟通解决方法；</w:t>
            </w:r>
          </w:p>
          <w:p>
            <w:pPr>
              <w:snapToGrid w:val="0"/>
              <w:spacing w:line="288" w:lineRule="auto"/>
              <w:rPr>
                <w:sz w:val="18"/>
                <w:szCs w:val="18"/>
              </w:rPr>
            </w:pPr>
            <w:r>
              <w:rPr>
                <w:rFonts w:hint="eastAsia" w:ascii="宋体" w:hAnsi="宋体"/>
                <w:sz w:val="18"/>
                <w:szCs w:val="18"/>
              </w:rPr>
              <w:t>了解中西方在生活、婚恋观、育儿观、商务沟通等文化差异.</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napToGrid w:val="0"/>
              <w:spacing w:line="288" w:lineRule="auto"/>
              <w:ind w:firstLine="180" w:firstLineChars="100"/>
              <w:rPr>
                <w:sz w:val="18"/>
                <w:szCs w:val="18"/>
              </w:rPr>
            </w:pPr>
            <w:r>
              <w:rPr>
                <w:sz w:val="18"/>
                <w:szCs w:val="18"/>
              </w:rPr>
              <w:t>4</w:t>
            </w:r>
          </w:p>
        </w:tc>
        <w:tc>
          <w:tcPr>
            <w:tcW w:w="3733" w:type="dxa"/>
          </w:tcPr>
          <w:p>
            <w:pPr>
              <w:snapToGrid w:val="0"/>
              <w:spacing w:line="288" w:lineRule="auto"/>
              <w:rPr>
                <w:rFonts w:hAnsi="宋体"/>
                <w:kern w:val="0"/>
                <w:sz w:val="18"/>
                <w:szCs w:val="18"/>
              </w:rPr>
            </w:pPr>
            <w:r>
              <w:rPr>
                <w:rFonts w:hint="eastAsia" w:hAnsi="宋体"/>
                <w:kern w:val="0"/>
                <w:sz w:val="18"/>
                <w:szCs w:val="18"/>
              </w:rPr>
              <w:t>知识目标：</w:t>
            </w:r>
          </w:p>
          <w:p>
            <w:pPr>
              <w:snapToGrid w:val="0"/>
              <w:spacing w:line="288" w:lineRule="auto"/>
              <w:ind w:left="90" w:hanging="90" w:hangingChars="50"/>
              <w:rPr>
                <w:rFonts w:hAnsi="宋体"/>
                <w:kern w:val="0"/>
                <w:sz w:val="18"/>
                <w:szCs w:val="18"/>
              </w:rPr>
            </w:pPr>
            <w:r>
              <w:rPr>
                <w:rFonts w:hAnsi="宋体"/>
                <w:kern w:val="0"/>
                <w:sz w:val="18"/>
                <w:szCs w:val="18"/>
              </w:rPr>
              <w:t>1)</w:t>
            </w:r>
            <w:r>
              <w:rPr>
                <w:rFonts w:hint="eastAsia" w:hAnsi="宋体"/>
                <w:kern w:val="0"/>
                <w:sz w:val="18"/>
                <w:szCs w:val="18"/>
              </w:rPr>
              <w:t>学习</w:t>
            </w:r>
            <w:r>
              <w:rPr>
                <w:rFonts w:hAnsi="宋体"/>
                <w:kern w:val="0"/>
                <w:sz w:val="18"/>
                <w:szCs w:val="18"/>
              </w:rPr>
              <w:t>Text</w:t>
            </w:r>
            <w:r>
              <w:rPr>
                <w:rFonts w:hint="eastAsia" w:hAnsi="宋体"/>
                <w:kern w:val="0"/>
                <w:sz w:val="18"/>
                <w:szCs w:val="18"/>
              </w:rPr>
              <w:t>中单词、短语以及文章中的长难句；</w:t>
            </w:r>
          </w:p>
          <w:p>
            <w:pPr>
              <w:snapToGrid w:val="0"/>
              <w:spacing w:line="288" w:lineRule="auto"/>
              <w:rPr>
                <w:rFonts w:hAnsi="宋体"/>
                <w:kern w:val="0"/>
                <w:sz w:val="18"/>
                <w:szCs w:val="18"/>
              </w:rPr>
            </w:pPr>
            <w:r>
              <w:rPr>
                <w:rFonts w:hAnsi="宋体"/>
                <w:kern w:val="0"/>
                <w:sz w:val="18"/>
                <w:szCs w:val="18"/>
              </w:rPr>
              <w:t>2)</w:t>
            </w:r>
            <w:r>
              <w:rPr>
                <w:rFonts w:hint="eastAsia" w:hAnsi="宋体"/>
                <w:kern w:val="0"/>
                <w:sz w:val="18"/>
                <w:szCs w:val="18"/>
              </w:rPr>
              <w:t>熟悉文章中的文化知识——“成年形成期”；</w:t>
            </w:r>
          </w:p>
          <w:p>
            <w:pPr>
              <w:snapToGrid w:val="0"/>
              <w:spacing w:line="288" w:lineRule="auto"/>
              <w:rPr>
                <w:rFonts w:hAnsi="宋体"/>
                <w:kern w:val="0"/>
                <w:sz w:val="18"/>
                <w:szCs w:val="18"/>
              </w:rPr>
            </w:pPr>
            <w:r>
              <w:rPr>
                <w:rFonts w:hAnsi="宋体"/>
                <w:kern w:val="0"/>
                <w:sz w:val="18"/>
                <w:szCs w:val="18"/>
              </w:rPr>
              <w:t>3)</w:t>
            </w:r>
            <w:r>
              <w:rPr>
                <w:rFonts w:hint="eastAsia" w:hAnsi="宋体"/>
                <w:kern w:val="0"/>
                <w:sz w:val="18"/>
                <w:szCs w:val="18"/>
              </w:rPr>
              <w:t>让学生明白成为成年人的重要方面；</w:t>
            </w:r>
          </w:p>
          <w:p>
            <w:pPr>
              <w:snapToGrid w:val="0"/>
              <w:spacing w:line="288" w:lineRule="auto"/>
              <w:rPr>
                <w:rFonts w:hAnsi="宋体"/>
                <w:kern w:val="0"/>
                <w:sz w:val="18"/>
                <w:szCs w:val="18"/>
              </w:rPr>
            </w:pPr>
            <w:r>
              <w:rPr>
                <w:rFonts w:hint="eastAsia" w:hAnsi="宋体"/>
                <w:kern w:val="0"/>
                <w:sz w:val="18"/>
                <w:szCs w:val="18"/>
              </w:rPr>
              <w:t>能力目标：</w:t>
            </w:r>
          </w:p>
          <w:p>
            <w:pPr>
              <w:snapToGrid w:val="0"/>
              <w:spacing w:line="288" w:lineRule="auto"/>
              <w:rPr>
                <w:rFonts w:hAnsi="宋体"/>
                <w:kern w:val="0"/>
                <w:sz w:val="18"/>
                <w:szCs w:val="18"/>
              </w:rPr>
            </w:pPr>
            <w:r>
              <w:rPr>
                <w:rFonts w:hAnsi="宋体"/>
                <w:kern w:val="0"/>
                <w:sz w:val="18"/>
                <w:szCs w:val="18"/>
              </w:rPr>
              <w:t>1)</w:t>
            </w:r>
            <w:r>
              <w:rPr>
                <w:rFonts w:hint="eastAsia" w:hAnsi="宋体"/>
                <w:kern w:val="0"/>
                <w:sz w:val="18"/>
                <w:szCs w:val="18"/>
              </w:rPr>
              <w:t>运用快速阅读法掌握文章的主题：</w:t>
            </w:r>
          </w:p>
          <w:p>
            <w:pPr>
              <w:rPr>
                <w:rFonts w:hAnsi="宋体"/>
                <w:kern w:val="0"/>
                <w:sz w:val="18"/>
                <w:szCs w:val="18"/>
              </w:rPr>
            </w:pPr>
            <w:r>
              <w:rPr>
                <w:rFonts w:hAnsi="宋体"/>
                <w:kern w:val="0"/>
                <w:sz w:val="18"/>
                <w:szCs w:val="18"/>
              </w:rPr>
              <w:t>2)</w:t>
            </w:r>
            <w:r>
              <w:rPr>
                <w:rFonts w:hint="eastAsia" w:hAnsi="宋体"/>
                <w:kern w:val="0"/>
                <w:sz w:val="18"/>
                <w:szCs w:val="18"/>
              </w:rPr>
              <w:t>识别并欣赏作者的写作技巧：对比与比较法；</w:t>
            </w:r>
          </w:p>
          <w:p>
            <w:pPr>
              <w:snapToGrid w:val="0"/>
              <w:spacing w:line="288" w:lineRule="auto"/>
              <w:ind w:left="90" w:hanging="90" w:hangingChars="50"/>
              <w:rPr>
                <w:rFonts w:hAnsi="宋体"/>
                <w:kern w:val="0"/>
                <w:sz w:val="18"/>
                <w:szCs w:val="18"/>
              </w:rPr>
            </w:pPr>
            <w:r>
              <w:rPr>
                <w:rFonts w:hAnsi="宋体"/>
                <w:kern w:val="0"/>
                <w:sz w:val="18"/>
                <w:szCs w:val="18"/>
              </w:rPr>
              <w:t>3)</w:t>
            </w:r>
            <w:r>
              <w:rPr>
                <w:rFonts w:hint="eastAsia" w:hAnsi="宋体"/>
                <w:kern w:val="0"/>
                <w:sz w:val="18"/>
                <w:szCs w:val="18"/>
              </w:rPr>
              <w:t>训练学生通过抓住语篇的主旨大意并预测听力内容来提高听力练习；</w:t>
            </w:r>
          </w:p>
          <w:p>
            <w:pPr>
              <w:snapToGrid w:val="0"/>
              <w:spacing w:line="288" w:lineRule="auto"/>
              <w:ind w:left="90" w:hanging="90" w:hangingChars="50"/>
              <w:rPr>
                <w:rFonts w:hAnsi="宋体"/>
                <w:kern w:val="0"/>
                <w:sz w:val="18"/>
                <w:szCs w:val="18"/>
              </w:rPr>
            </w:pPr>
            <w:r>
              <w:rPr>
                <w:rFonts w:hAnsi="宋体"/>
                <w:kern w:val="0"/>
                <w:sz w:val="18"/>
                <w:szCs w:val="18"/>
              </w:rPr>
              <w:t>4)</w:t>
            </w:r>
            <w:r>
              <w:rPr>
                <w:rFonts w:hint="eastAsia" w:hAnsi="宋体"/>
                <w:kern w:val="0"/>
                <w:sz w:val="18"/>
                <w:szCs w:val="18"/>
              </w:rPr>
              <w:t>能够小组讨论合作，并能独立完整地表达自己的想法；</w:t>
            </w:r>
          </w:p>
          <w:p>
            <w:pPr>
              <w:snapToGrid w:val="0"/>
              <w:spacing w:line="288" w:lineRule="auto"/>
              <w:rPr>
                <w:rFonts w:hAnsi="宋体"/>
                <w:kern w:val="0"/>
                <w:sz w:val="18"/>
                <w:szCs w:val="18"/>
              </w:rPr>
            </w:pPr>
            <w:r>
              <w:rPr>
                <w:rFonts w:hint="eastAsia" w:hAnsi="宋体"/>
                <w:kern w:val="0"/>
                <w:sz w:val="18"/>
                <w:szCs w:val="18"/>
              </w:rPr>
              <w:t>情感目标：通过认识到成长发展规律，调整自己的心态缓解压力，并探索自己所爱的领域，逐渐适应成年人的生活。</w:t>
            </w:r>
          </w:p>
          <w:p>
            <w:pPr>
              <w:snapToGrid w:val="0"/>
              <w:spacing w:line="288" w:lineRule="auto"/>
              <w:rPr>
                <w:rFonts w:hAnsi="宋体"/>
                <w:kern w:val="0"/>
                <w:sz w:val="18"/>
                <w:szCs w:val="18"/>
              </w:rPr>
            </w:pPr>
            <w:r>
              <w:rPr>
                <w:rFonts w:hint="eastAsia" w:hAnsi="宋体"/>
                <w:kern w:val="0"/>
                <w:sz w:val="18"/>
                <w:szCs w:val="18"/>
              </w:rPr>
              <w:t>教学难点：</w:t>
            </w:r>
          </w:p>
          <w:p>
            <w:pPr>
              <w:snapToGrid w:val="0"/>
              <w:spacing w:line="288" w:lineRule="auto"/>
              <w:rPr>
                <w:rFonts w:hAnsi="宋体"/>
                <w:kern w:val="0"/>
                <w:sz w:val="18"/>
                <w:szCs w:val="18"/>
              </w:rPr>
            </w:pPr>
            <w:r>
              <w:rPr>
                <w:rFonts w:hAnsi="宋体"/>
                <w:kern w:val="0"/>
                <w:sz w:val="18"/>
                <w:szCs w:val="18"/>
              </w:rPr>
              <w:t>1)</w:t>
            </w:r>
            <w:r>
              <w:rPr>
                <w:rFonts w:hint="eastAsia" w:hAnsi="宋体"/>
                <w:kern w:val="0"/>
                <w:sz w:val="18"/>
                <w:szCs w:val="18"/>
              </w:rPr>
              <w:t>理解文章的主旨大意；</w:t>
            </w:r>
          </w:p>
          <w:p>
            <w:pPr>
              <w:snapToGrid w:val="0"/>
              <w:spacing w:line="288" w:lineRule="auto"/>
              <w:rPr>
                <w:rFonts w:hAnsi="宋体"/>
                <w:kern w:val="0"/>
                <w:sz w:val="18"/>
                <w:szCs w:val="18"/>
              </w:rPr>
            </w:pPr>
            <w:r>
              <w:rPr>
                <w:rFonts w:hAnsi="宋体"/>
                <w:kern w:val="0"/>
                <w:sz w:val="18"/>
                <w:szCs w:val="18"/>
              </w:rPr>
              <w:t>2)</w:t>
            </w:r>
            <w:r>
              <w:rPr>
                <w:rFonts w:hint="eastAsia" w:hAnsi="宋体"/>
                <w:kern w:val="0"/>
                <w:sz w:val="18"/>
                <w:szCs w:val="18"/>
              </w:rPr>
              <w:t>掌握本单元的重点单词、短语以及它们在具体语境中的应用；</w:t>
            </w:r>
          </w:p>
          <w:p>
            <w:pPr>
              <w:snapToGrid w:val="0"/>
              <w:spacing w:line="288" w:lineRule="auto"/>
              <w:ind w:left="180" w:hanging="180" w:hangingChars="100"/>
              <w:rPr>
                <w:rFonts w:hAnsi="宋体"/>
                <w:kern w:val="0"/>
                <w:sz w:val="18"/>
                <w:szCs w:val="18"/>
              </w:rPr>
            </w:pPr>
            <w:r>
              <w:rPr>
                <w:rFonts w:hAnsi="宋体"/>
                <w:kern w:val="0"/>
                <w:sz w:val="18"/>
                <w:szCs w:val="18"/>
              </w:rPr>
              <w:t>3)</w:t>
            </w:r>
            <w:r>
              <w:rPr>
                <w:rFonts w:hint="eastAsia" w:hAnsi="宋体"/>
                <w:kern w:val="0"/>
                <w:sz w:val="18"/>
                <w:szCs w:val="18"/>
              </w:rPr>
              <w:t>运用对比法分析任何事物的两面性；</w:t>
            </w:r>
          </w:p>
          <w:p>
            <w:pPr>
              <w:snapToGrid w:val="0"/>
              <w:spacing w:line="288" w:lineRule="auto"/>
              <w:ind w:left="180" w:hanging="180" w:hangingChars="100"/>
              <w:rPr>
                <w:rFonts w:hAnsi="宋体"/>
                <w:kern w:val="0"/>
                <w:sz w:val="18"/>
                <w:szCs w:val="18"/>
              </w:rPr>
            </w:pPr>
            <w:r>
              <w:rPr>
                <w:rFonts w:hAnsi="宋体"/>
                <w:kern w:val="0"/>
                <w:sz w:val="18"/>
                <w:szCs w:val="18"/>
              </w:rPr>
              <w:t>4)</w:t>
            </w:r>
            <w:r>
              <w:rPr>
                <w:rFonts w:hint="eastAsia" w:hAnsi="宋体"/>
                <w:kern w:val="0"/>
                <w:sz w:val="18"/>
                <w:szCs w:val="18"/>
              </w:rPr>
              <w:t>运用略读法以及扫读法提高答题技巧；</w:t>
            </w:r>
          </w:p>
          <w:p>
            <w:pPr>
              <w:widowControl/>
              <w:rPr>
                <w:sz w:val="18"/>
                <w:szCs w:val="18"/>
              </w:rPr>
            </w:pPr>
            <w:r>
              <w:rPr>
                <w:rFonts w:hAnsi="宋体"/>
                <w:kern w:val="0"/>
                <w:sz w:val="18"/>
                <w:szCs w:val="18"/>
              </w:rPr>
              <w:t>5)</w:t>
            </w:r>
            <w:r>
              <w:rPr>
                <w:rFonts w:hint="eastAsia" w:hAnsi="宋体"/>
                <w:kern w:val="0"/>
                <w:sz w:val="18"/>
                <w:szCs w:val="18"/>
              </w:rPr>
              <w:t>预测相关听力内容；</w:t>
            </w:r>
          </w:p>
        </w:tc>
        <w:tc>
          <w:tcPr>
            <w:tcW w:w="3686" w:type="dxa"/>
          </w:tcPr>
          <w:p>
            <w:pPr>
              <w:widowControl/>
              <w:rPr>
                <w:kern w:val="0"/>
                <w:sz w:val="18"/>
                <w:szCs w:val="18"/>
              </w:rPr>
            </w:pPr>
            <w:r>
              <w:rPr>
                <w:rFonts w:hint="eastAsia"/>
                <w:kern w:val="0"/>
                <w:sz w:val="18"/>
                <w:szCs w:val="18"/>
              </w:rPr>
              <w:t>掌握重点单词、短语和句型；</w:t>
            </w:r>
          </w:p>
          <w:p>
            <w:pPr>
              <w:widowControl/>
              <w:rPr>
                <w:kern w:val="0"/>
                <w:sz w:val="18"/>
                <w:szCs w:val="18"/>
              </w:rPr>
            </w:pPr>
            <w:r>
              <w:rPr>
                <w:rFonts w:hint="eastAsia"/>
                <w:kern w:val="0"/>
                <w:sz w:val="18"/>
                <w:szCs w:val="18"/>
              </w:rPr>
              <w:t>知道文章中涉及的相关背景知识；</w:t>
            </w:r>
          </w:p>
          <w:p>
            <w:pPr>
              <w:widowControl/>
              <w:rPr>
                <w:kern w:val="0"/>
                <w:sz w:val="18"/>
                <w:szCs w:val="18"/>
              </w:rPr>
            </w:pPr>
            <w:r>
              <w:rPr>
                <w:rFonts w:hint="eastAsia"/>
                <w:kern w:val="0"/>
                <w:sz w:val="18"/>
                <w:szCs w:val="18"/>
              </w:rPr>
              <w:t>运用换位思考法，从不同角度思辨，提出自己的观点。</w:t>
            </w:r>
          </w:p>
          <w:p>
            <w:pPr>
              <w:widowControl/>
              <w:rPr>
                <w:rFonts w:ascii="宋体"/>
                <w:sz w:val="18"/>
                <w:szCs w:val="18"/>
              </w:rPr>
            </w:pPr>
            <w:r>
              <w:rPr>
                <w:rFonts w:hint="eastAsia" w:ascii="宋体" w:hAnsi="宋体"/>
                <w:sz w:val="18"/>
                <w:szCs w:val="18"/>
              </w:rPr>
              <w:t>能够借助自身经历或周边见闻来</w:t>
            </w:r>
            <w:r>
              <w:rPr>
                <w:rFonts w:hint="eastAsia" w:ascii="宋体" w:hAnsi="宋体"/>
                <w:sz w:val="18"/>
                <w:szCs w:val="18"/>
                <w:lang w:val="zh-CN"/>
              </w:rPr>
              <w:t>理解全文大意</w:t>
            </w:r>
            <w:r>
              <w:rPr>
                <w:rFonts w:hint="eastAsia" w:ascii="宋体" w:hAnsi="宋体"/>
                <w:sz w:val="18"/>
                <w:szCs w:val="18"/>
              </w:rPr>
              <w:t>；</w:t>
            </w:r>
          </w:p>
          <w:p>
            <w:pPr>
              <w:widowControl/>
              <w:rPr>
                <w:rFonts w:ascii="宋体"/>
                <w:sz w:val="18"/>
                <w:szCs w:val="18"/>
              </w:rPr>
            </w:pPr>
            <w:r>
              <w:rPr>
                <w:rFonts w:hint="eastAsia"/>
                <w:sz w:val="18"/>
                <w:szCs w:val="18"/>
              </w:rPr>
              <w:t>引导学生学习并掌握课文中作者运用列点法来阐述自己的观点：举例与并列；</w:t>
            </w:r>
          </w:p>
          <w:p>
            <w:pPr>
              <w:widowControl/>
              <w:rPr>
                <w:rFonts w:ascii="宋体" w:hAnsi="宋体"/>
                <w:sz w:val="18"/>
                <w:szCs w:val="18"/>
              </w:rPr>
            </w:pPr>
            <w:r>
              <w:rPr>
                <w:rFonts w:hint="eastAsia" w:ascii="宋体" w:hAnsi="宋体"/>
                <w:sz w:val="18"/>
                <w:szCs w:val="18"/>
              </w:rPr>
              <w:t>能够辨证理解人的成长规律，能从父母和孩子两个角度思考青少年应如何正确的成长为有目标有责任的成年人；</w:t>
            </w:r>
          </w:p>
          <w:p>
            <w:pPr>
              <w:widowControl/>
              <w:rPr>
                <w:rFonts w:ascii="宋体"/>
                <w:sz w:val="18"/>
                <w:szCs w:val="18"/>
              </w:rPr>
            </w:pPr>
            <w:r>
              <w:rPr>
                <w:rFonts w:hint="eastAsia" w:ascii="宋体" w:hAnsi="宋体"/>
                <w:sz w:val="18"/>
                <w:szCs w:val="18"/>
              </w:rPr>
              <w:t>了解中西方对待“成年形成期”的文化差异；</w:t>
            </w:r>
          </w:p>
          <w:p>
            <w:pPr>
              <w:snapToGrid w:val="0"/>
              <w:spacing w:line="288" w:lineRule="auto"/>
              <w:rPr>
                <w:sz w:val="18"/>
                <w:szCs w:val="18"/>
              </w:rPr>
            </w:pPr>
            <w:r>
              <w:rPr>
                <w:rFonts w:hint="eastAsia" w:ascii="宋体" w:hAnsi="宋体"/>
                <w:sz w:val="18"/>
                <w:szCs w:val="18"/>
              </w:rPr>
              <w:t>听懂有关“成年形成期”</w:t>
            </w:r>
            <w:r>
              <w:rPr>
                <w:rFonts w:ascii="宋体" w:hAnsi="宋体"/>
                <w:sz w:val="18"/>
                <w:szCs w:val="18"/>
              </w:rPr>
              <w:t xml:space="preserve"> </w:t>
            </w:r>
            <w:r>
              <w:rPr>
                <w:rFonts w:hint="eastAsia" w:ascii="宋体" w:hAnsi="宋体"/>
                <w:sz w:val="18"/>
                <w:szCs w:val="18"/>
              </w:rPr>
              <w:t>的话题，把握文章中重点细节的知识。</w:t>
            </w:r>
          </w:p>
        </w:tc>
      </w:tr>
    </w:tbl>
    <w:p>
      <w:pPr>
        <w:widowControl/>
        <w:spacing w:before="156" w:beforeLines="50" w:after="156" w:afterLines="50" w:line="288" w:lineRule="auto"/>
        <w:jc w:val="left"/>
        <w:rPr>
          <w:rFonts w:ascii="黑体" w:hAnsi="宋体" w:eastAsia="黑体"/>
          <w:sz w:val="24"/>
        </w:rPr>
      </w:pPr>
      <w:r>
        <w:rPr>
          <w:rFonts w:hint="eastAsia" w:ascii="黑体" w:hAnsi="宋体" w:eastAsia="黑体"/>
          <w:sz w:val="24"/>
        </w:rPr>
        <w:t>六、评价方式与成绩</w:t>
      </w:r>
      <w:bookmarkStart w:id="1" w:name="_GoBack"/>
      <w:bookmarkEnd w:id="1"/>
    </w:p>
    <w:tbl>
      <w:tblPr>
        <w:tblStyle w:val="8"/>
        <w:tblpPr w:leftFromText="180" w:rightFromText="180" w:vertAnchor="text" w:horzAnchor="margin" w:tblpY="311"/>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napToGrid w:val="0"/>
              <w:spacing w:before="156" w:beforeLines="50" w:after="156" w:afterLines="50"/>
              <w:rPr>
                <w:rFonts w:ascii="宋体"/>
                <w:bCs/>
                <w:color w:val="000000"/>
                <w:szCs w:val="20"/>
              </w:rPr>
            </w:pPr>
            <w:r>
              <w:rPr>
                <w:rFonts w:hint="eastAsia" w:ascii="宋体" w:hAnsi="宋体"/>
                <w:bCs/>
                <w:color w:val="000000"/>
                <w:szCs w:val="20"/>
              </w:rPr>
              <w:t>总评构成（</w:t>
            </w:r>
            <w:r>
              <w:rPr>
                <w:rFonts w:ascii="宋体" w:hAnsi="宋体"/>
                <w:bCs/>
                <w:color w:val="000000"/>
                <w:szCs w:val="20"/>
              </w:rPr>
              <w:t>1+X</w:t>
            </w:r>
            <w:r>
              <w:rPr>
                <w:rFonts w:hint="eastAsia" w:ascii="宋体" w:hAnsi="宋体"/>
                <w:bCs/>
                <w:color w:val="000000"/>
                <w:szCs w:val="20"/>
              </w:rPr>
              <w:t>）</w:t>
            </w:r>
          </w:p>
        </w:tc>
        <w:tc>
          <w:tcPr>
            <w:tcW w:w="5103" w:type="dxa"/>
          </w:tcPr>
          <w:p>
            <w:pPr>
              <w:snapToGrid w:val="0"/>
              <w:spacing w:before="156" w:beforeLines="50" w:after="156" w:afterLines="50"/>
              <w:jc w:val="center"/>
              <w:rPr>
                <w:rFonts w:ascii="宋体"/>
                <w:bCs/>
                <w:color w:val="000000"/>
                <w:szCs w:val="20"/>
              </w:rPr>
            </w:pPr>
            <w:r>
              <w:rPr>
                <w:rFonts w:hint="eastAsia" w:ascii="宋体" w:hAnsi="宋体"/>
                <w:bCs/>
                <w:color w:val="000000"/>
                <w:szCs w:val="20"/>
              </w:rPr>
              <w:t>评价方式</w:t>
            </w:r>
          </w:p>
        </w:tc>
        <w:tc>
          <w:tcPr>
            <w:tcW w:w="1843" w:type="dxa"/>
          </w:tcPr>
          <w:p>
            <w:pPr>
              <w:snapToGrid w:val="0"/>
              <w:spacing w:before="156" w:beforeLines="50" w:after="156" w:afterLines="50"/>
              <w:jc w:val="center"/>
              <w:rPr>
                <w:rFonts w:ascii="宋体"/>
                <w:bCs/>
                <w:szCs w:val="20"/>
              </w:rPr>
            </w:pPr>
            <w:r>
              <w:rPr>
                <w:rFonts w:hint="eastAsia" w:ascii="宋体" w:hAnsi="宋体"/>
                <w:bCs/>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napToGrid w:val="0"/>
              <w:spacing w:before="156" w:beforeLines="50" w:after="156" w:afterLines="50"/>
              <w:jc w:val="center"/>
              <w:rPr>
                <w:rFonts w:ascii="宋体"/>
                <w:bCs/>
                <w:szCs w:val="20"/>
                <w:highlight w:val="yellow"/>
              </w:rPr>
            </w:pPr>
            <w:r>
              <w:rPr>
                <w:rFonts w:ascii="宋体" w:hAnsi="宋体"/>
                <w:bCs/>
                <w:color w:val="000000"/>
                <w:szCs w:val="21"/>
              </w:rPr>
              <w:t>1</w:t>
            </w:r>
          </w:p>
        </w:tc>
        <w:tc>
          <w:tcPr>
            <w:tcW w:w="5103" w:type="dxa"/>
          </w:tcPr>
          <w:p>
            <w:pPr>
              <w:snapToGrid w:val="0"/>
              <w:spacing w:before="156" w:beforeLines="50" w:after="156" w:afterLines="50"/>
              <w:jc w:val="center"/>
              <w:rPr>
                <w:rFonts w:ascii="宋体"/>
                <w:bCs/>
                <w:color w:val="000000"/>
                <w:szCs w:val="20"/>
              </w:rPr>
            </w:pPr>
            <w:r>
              <w:rPr>
                <w:rFonts w:hint="eastAsia" w:ascii="宋体" w:hAnsi="宋体"/>
                <w:bCs/>
                <w:color w:val="000000"/>
                <w:szCs w:val="20"/>
              </w:rPr>
              <w:t>期终闭卷考试</w:t>
            </w:r>
          </w:p>
        </w:tc>
        <w:tc>
          <w:tcPr>
            <w:tcW w:w="1843" w:type="dxa"/>
          </w:tcPr>
          <w:p>
            <w:pPr>
              <w:snapToGrid w:val="0"/>
              <w:spacing w:before="156" w:beforeLines="50" w:after="156" w:afterLines="50"/>
              <w:jc w:val="center"/>
              <w:rPr>
                <w:rFonts w:ascii="宋体" w:hAnsi="宋体"/>
                <w:bCs/>
                <w:color w:val="000000"/>
                <w:szCs w:val="20"/>
              </w:rPr>
            </w:pPr>
            <w:r>
              <w:rPr>
                <w:rFonts w:ascii="宋体" w:hAnsi="宋体"/>
                <w:bCs/>
                <w:color w:val="00000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napToGrid w:val="0"/>
              <w:spacing w:before="156" w:beforeLines="50" w:after="156" w:afterLines="50"/>
              <w:jc w:val="center"/>
              <w:rPr>
                <w:rFonts w:ascii="宋体"/>
                <w:bCs/>
                <w:color w:val="000000"/>
                <w:szCs w:val="20"/>
                <w:highlight w:val="yellow"/>
              </w:rPr>
            </w:pPr>
            <w:r>
              <w:rPr>
                <w:rFonts w:ascii="宋体" w:hAnsi="宋体"/>
                <w:bCs/>
                <w:color w:val="000000"/>
                <w:szCs w:val="20"/>
              </w:rPr>
              <w:t>X1</w:t>
            </w:r>
          </w:p>
        </w:tc>
        <w:tc>
          <w:tcPr>
            <w:tcW w:w="5103" w:type="dxa"/>
          </w:tcPr>
          <w:p>
            <w:pPr>
              <w:snapToGrid w:val="0"/>
              <w:spacing w:before="156" w:beforeLines="50" w:after="156" w:afterLines="50"/>
              <w:ind w:firstLine="1785" w:firstLineChars="850"/>
              <w:rPr>
                <w:rFonts w:ascii="宋体"/>
                <w:bCs/>
                <w:color w:val="000000"/>
                <w:szCs w:val="20"/>
              </w:rPr>
            </w:pPr>
            <w:r>
              <w:rPr>
                <w:rFonts w:hint="eastAsia" w:ascii="宋体" w:hAnsi="宋体"/>
                <w:bCs/>
                <w:color w:val="000000"/>
                <w:szCs w:val="20"/>
              </w:rPr>
              <w:t>随堂测验</w:t>
            </w:r>
          </w:p>
        </w:tc>
        <w:tc>
          <w:tcPr>
            <w:tcW w:w="1843" w:type="dxa"/>
          </w:tcPr>
          <w:p>
            <w:pPr>
              <w:snapToGrid w:val="0"/>
              <w:spacing w:before="156" w:beforeLines="50" w:after="156" w:afterLines="50"/>
              <w:jc w:val="center"/>
              <w:rPr>
                <w:rFonts w:ascii="宋体" w:hAnsi="宋体"/>
                <w:bCs/>
                <w:color w:val="000000"/>
                <w:szCs w:val="20"/>
              </w:rPr>
            </w:pPr>
            <w:r>
              <w:rPr>
                <w:rFonts w:ascii="宋体" w:hAnsi="宋体"/>
                <w:bCs/>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napToGrid w:val="0"/>
              <w:spacing w:before="156" w:beforeLines="50" w:after="156" w:afterLines="50"/>
              <w:jc w:val="center"/>
              <w:rPr>
                <w:rFonts w:ascii="宋体"/>
                <w:bCs/>
                <w:color w:val="000000"/>
                <w:szCs w:val="20"/>
                <w:highlight w:val="yellow"/>
              </w:rPr>
            </w:pPr>
            <w:r>
              <w:rPr>
                <w:rFonts w:ascii="宋体" w:hAnsi="宋体"/>
                <w:bCs/>
                <w:color w:val="000000"/>
                <w:szCs w:val="20"/>
              </w:rPr>
              <w:t>X2</w:t>
            </w:r>
          </w:p>
        </w:tc>
        <w:tc>
          <w:tcPr>
            <w:tcW w:w="5103" w:type="dxa"/>
          </w:tcPr>
          <w:p>
            <w:pPr>
              <w:snapToGrid w:val="0"/>
              <w:spacing w:before="156" w:beforeLines="50" w:after="156" w:afterLines="50"/>
              <w:ind w:firstLine="1785" w:firstLineChars="850"/>
              <w:rPr>
                <w:rFonts w:ascii="宋体"/>
                <w:bCs/>
                <w:color w:val="000000"/>
                <w:szCs w:val="20"/>
              </w:rPr>
            </w:pPr>
            <w:r>
              <w:rPr>
                <w:rFonts w:hint="eastAsia" w:ascii="宋体" w:hAnsi="宋体"/>
                <w:bCs/>
                <w:color w:val="000000"/>
                <w:szCs w:val="20"/>
              </w:rPr>
              <w:t>作业</w:t>
            </w:r>
          </w:p>
        </w:tc>
        <w:tc>
          <w:tcPr>
            <w:tcW w:w="1843" w:type="dxa"/>
          </w:tcPr>
          <w:p>
            <w:pPr>
              <w:snapToGrid w:val="0"/>
              <w:spacing w:before="156" w:beforeLines="50" w:after="156" w:afterLines="50"/>
              <w:jc w:val="center"/>
              <w:rPr>
                <w:rFonts w:ascii="宋体" w:hAnsi="宋体"/>
                <w:bCs/>
                <w:color w:val="000000"/>
                <w:szCs w:val="20"/>
              </w:rPr>
            </w:pPr>
            <w:r>
              <w:rPr>
                <w:rFonts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napToGrid w:val="0"/>
              <w:spacing w:before="156" w:beforeLines="50" w:after="156" w:afterLines="50"/>
              <w:jc w:val="center"/>
              <w:rPr>
                <w:rFonts w:ascii="宋体"/>
                <w:bCs/>
                <w:color w:val="000000"/>
                <w:szCs w:val="20"/>
                <w:highlight w:val="yellow"/>
              </w:rPr>
            </w:pPr>
            <w:r>
              <w:rPr>
                <w:rFonts w:ascii="宋体" w:hAnsi="宋体"/>
                <w:bCs/>
                <w:color w:val="000000"/>
                <w:szCs w:val="20"/>
              </w:rPr>
              <w:t>X3</w:t>
            </w:r>
          </w:p>
        </w:tc>
        <w:tc>
          <w:tcPr>
            <w:tcW w:w="5103" w:type="dxa"/>
          </w:tcPr>
          <w:p>
            <w:pPr>
              <w:snapToGrid w:val="0"/>
              <w:spacing w:before="156" w:beforeLines="50" w:after="156" w:afterLines="50"/>
              <w:rPr>
                <w:rFonts w:ascii="宋体"/>
                <w:bCs/>
                <w:color w:val="000000"/>
                <w:szCs w:val="20"/>
              </w:rPr>
            </w:pPr>
            <w:r>
              <w:rPr>
                <w:rFonts w:ascii="宋体" w:hAnsi="宋体"/>
                <w:bCs/>
                <w:color w:val="000000"/>
                <w:szCs w:val="20"/>
              </w:rPr>
              <w:t xml:space="preserve">                 </w:t>
            </w:r>
            <w:r>
              <w:rPr>
                <w:rFonts w:hint="eastAsia" w:ascii="宋体" w:hAnsi="宋体"/>
                <w:bCs/>
                <w:color w:val="000000"/>
                <w:szCs w:val="20"/>
              </w:rPr>
              <w:t>口试和课堂表现</w:t>
            </w:r>
          </w:p>
        </w:tc>
        <w:tc>
          <w:tcPr>
            <w:tcW w:w="1843" w:type="dxa"/>
          </w:tcPr>
          <w:p>
            <w:pPr>
              <w:snapToGrid w:val="0"/>
              <w:spacing w:before="156" w:beforeLines="50" w:after="156" w:afterLines="50"/>
              <w:jc w:val="center"/>
              <w:rPr>
                <w:rFonts w:ascii="宋体" w:hAnsi="宋体"/>
                <w:bCs/>
                <w:color w:val="000000"/>
                <w:szCs w:val="20"/>
              </w:rPr>
            </w:pPr>
            <w:r>
              <w:rPr>
                <w:rFonts w:ascii="宋体" w:hAnsi="宋体"/>
                <w:bCs/>
                <w:color w:val="000000"/>
                <w:szCs w:val="20"/>
              </w:rPr>
              <w:t>20%</w:t>
            </w:r>
          </w:p>
        </w:tc>
      </w:tr>
    </w:tbl>
    <w:p>
      <w:pPr>
        <w:widowControl/>
        <w:spacing w:before="156" w:beforeLines="50" w:after="156" w:afterLines="50" w:line="288" w:lineRule="auto"/>
        <w:jc w:val="left"/>
        <w:rPr>
          <w:rFonts w:ascii="黑体" w:hAnsi="宋体" w:eastAsia="黑体"/>
          <w:sz w:val="24"/>
        </w:rPr>
      </w:pPr>
    </w:p>
    <w:p>
      <w:pPr>
        <w:snapToGrid w:val="0"/>
        <w:spacing w:line="288" w:lineRule="auto"/>
        <w:ind w:firstLine="630" w:firstLineChars="300"/>
        <w:jc w:val="left"/>
        <w:rPr>
          <w:szCs w:val="21"/>
        </w:rPr>
      </w:pPr>
      <w:r>
        <w:rPr>
          <w:rFonts w:hint="eastAsia"/>
          <w:szCs w:val="21"/>
        </w:rPr>
        <w:t>撰写人：</w:t>
      </w:r>
      <w:r>
        <w:rPr>
          <w:rFonts w:hint="eastAsia"/>
          <w:szCs w:val="21"/>
          <w:lang w:eastAsia="zh-CN"/>
        </w:rPr>
        <w:t>张利</w:t>
      </w:r>
      <w:r>
        <w:rPr>
          <w:rFonts w:hint="eastAsia"/>
          <w:szCs w:val="21"/>
        </w:rPr>
        <w:t xml:space="preserve"> 陈银春                              系主任审核签名：陈永明</w:t>
      </w:r>
    </w:p>
    <w:p>
      <w:pPr>
        <w:snapToGrid w:val="0"/>
        <w:spacing w:line="288" w:lineRule="auto"/>
        <w:ind w:firstLine="3465" w:firstLineChars="1650"/>
        <w:jc w:val="right"/>
        <w:rPr>
          <w:szCs w:val="21"/>
        </w:rPr>
      </w:pPr>
      <w:r>
        <w:rPr>
          <w:rFonts w:hint="eastAsia"/>
          <w:szCs w:val="21"/>
        </w:rPr>
        <w:t>审核时间：201</w:t>
      </w:r>
      <w:r>
        <w:rPr>
          <w:rFonts w:hint="eastAsia"/>
          <w:szCs w:val="21"/>
          <w:lang w:val="en-US" w:eastAsia="zh-CN"/>
        </w:rPr>
        <w:t>9</w:t>
      </w:r>
      <w:r>
        <w:rPr>
          <w:rFonts w:hint="eastAsia"/>
          <w:szCs w:val="21"/>
        </w:rPr>
        <w:t>年</w:t>
      </w:r>
      <w:r>
        <w:rPr>
          <w:rFonts w:hint="eastAsia"/>
          <w:szCs w:val="21"/>
          <w:lang w:val="en-US" w:eastAsia="zh-CN"/>
        </w:rPr>
        <w:t>1</w:t>
      </w:r>
      <w:r>
        <w:rPr>
          <w:rFonts w:hint="eastAsia"/>
          <w:szCs w:val="21"/>
        </w:rPr>
        <w:t>月2</w:t>
      </w:r>
      <w:r>
        <w:rPr>
          <w:rFonts w:hint="eastAsia"/>
          <w:szCs w:val="21"/>
          <w:lang w:val="en-US" w:eastAsia="zh-CN"/>
        </w:rPr>
        <w:t>6</w:t>
      </w:r>
      <w:r>
        <w:rPr>
          <w:rFonts w:hint="eastAsia"/>
          <w:szCs w:val="21"/>
        </w:rPr>
        <w:t>日</w:t>
      </w:r>
    </w:p>
    <w:p>
      <w:pPr>
        <w:rPr>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26（A</w:t>
    </w:r>
    <w:r>
      <w:rPr>
        <w:rFonts w:ascii="宋体" w:hAnsi="宋体"/>
        <w:spacing w:val="20"/>
        <w:sz w:val="24"/>
        <w:szCs w:val="24"/>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7362F"/>
    <w:rsid w:val="00095853"/>
    <w:rsid w:val="000B09B1"/>
    <w:rsid w:val="000F563F"/>
    <w:rsid w:val="00105296"/>
    <w:rsid w:val="00175300"/>
    <w:rsid w:val="001F4A01"/>
    <w:rsid w:val="00213230"/>
    <w:rsid w:val="0022585F"/>
    <w:rsid w:val="00233FBC"/>
    <w:rsid w:val="00256B39"/>
    <w:rsid w:val="0026033C"/>
    <w:rsid w:val="00283D82"/>
    <w:rsid w:val="002E21F6"/>
    <w:rsid w:val="002E3721"/>
    <w:rsid w:val="002F1A16"/>
    <w:rsid w:val="00301927"/>
    <w:rsid w:val="00313BBA"/>
    <w:rsid w:val="0032396A"/>
    <w:rsid w:val="0032602E"/>
    <w:rsid w:val="003367AE"/>
    <w:rsid w:val="004100B0"/>
    <w:rsid w:val="004B4C87"/>
    <w:rsid w:val="005467DC"/>
    <w:rsid w:val="00553D03"/>
    <w:rsid w:val="00572AAE"/>
    <w:rsid w:val="005B2B6D"/>
    <w:rsid w:val="005B4B4E"/>
    <w:rsid w:val="005F2E2D"/>
    <w:rsid w:val="006005D0"/>
    <w:rsid w:val="00624FE1"/>
    <w:rsid w:val="00697168"/>
    <w:rsid w:val="006D688E"/>
    <w:rsid w:val="007208D6"/>
    <w:rsid w:val="007260BC"/>
    <w:rsid w:val="00726C22"/>
    <w:rsid w:val="007501C0"/>
    <w:rsid w:val="007651F1"/>
    <w:rsid w:val="007B4784"/>
    <w:rsid w:val="007C71A9"/>
    <w:rsid w:val="007E05AE"/>
    <w:rsid w:val="007E406A"/>
    <w:rsid w:val="0080206D"/>
    <w:rsid w:val="00891978"/>
    <w:rsid w:val="008B397C"/>
    <w:rsid w:val="008B47F4"/>
    <w:rsid w:val="00900019"/>
    <w:rsid w:val="00903293"/>
    <w:rsid w:val="00962C0C"/>
    <w:rsid w:val="0099063E"/>
    <w:rsid w:val="00A16CFD"/>
    <w:rsid w:val="00A77DAA"/>
    <w:rsid w:val="00A8098D"/>
    <w:rsid w:val="00AC28A0"/>
    <w:rsid w:val="00AF048A"/>
    <w:rsid w:val="00B511A5"/>
    <w:rsid w:val="00B7651F"/>
    <w:rsid w:val="00B76DF5"/>
    <w:rsid w:val="00BC30A3"/>
    <w:rsid w:val="00BD6FF6"/>
    <w:rsid w:val="00BF1642"/>
    <w:rsid w:val="00C56E09"/>
    <w:rsid w:val="00C721FD"/>
    <w:rsid w:val="00CC5193"/>
    <w:rsid w:val="00DC7219"/>
    <w:rsid w:val="00E16D30"/>
    <w:rsid w:val="00E33169"/>
    <w:rsid w:val="00E70904"/>
    <w:rsid w:val="00E84124"/>
    <w:rsid w:val="00EE1EFB"/>
    <w:rsid w:val="00EE5EB1"/>
    <w:rsid w:val="00EF44B1"/>
    <w:rsid w:val="00F00049"/>
    <w:rsid w:val="00F35AA0"/>
    <w:rsid w:val="00F74163"/>
    <w:rsid w:val="00FD6620"/>
    <w:rsid w:val="00FF2C61"/>
    <w:rsid w:val="024B0C39"/>
    <w:rsid w:val="02E07C5D"/>
    <w:rsid w:val="06CD4C74"/>
    <w:rsid w:val="07910517"/>
    <w:rsid w:val="089608E6"/>
    <w:rsid w:val="11EF0888"/>
    <w:rsid w:val="170C74B4"/>
    <w:rsid w:val="1F9D54B6"/>
    <w:rsid w:val="24192CCC"/>
    <w:rsid w:val="33F868A9"/>
    <w:rsid w:val="3C442748"/>
    <w:rsid w:val="3CD52CE1"/>
    <w:rsid w:val="3D3C55B6"/>
    <w:rsid w:val="41736F2E"/>
    <w:rsid w:val="477F3531"/>
    <w:rsid w:val="496D7024"/>
    <w:rsid w:val="51070217"/>
    <w:rsid w:val="54715C57"/>
    <w:rsid w:val="54875D3D"/>
    <w:rsid w:val="58ED3A53"/>
    <w:rsid w:val="5E9327CD"/>
    <w:rsid w:val="659A6C5F"/>
    <w:rsid w:val="66BA4938"/>
    <w:rsid w:val="6F5042C2"/>
    <w:rsid w:val="773E764D"/>
    <w:rsid w:val="79682DAC"/>
    <w:rsid w:val="796D0776"/>
    <w:rsid w:val="7D870B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2"/>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Hyperlink"/>
    <w:basedOn w:val="6"/>
    <w:qFormat/>
    <w:uiPriority w:val="99"/>
    <w:rPr>
      <w:rFonts w:cs="Times New Roman"/>
      <w:color w:val="0000FF"/>
      <w:u w:val="single"/>
    </w:rPr>
  </w:style>
  <w:style w:type="table" w:styleId="9">
    <w:name w:val="Table Grid"/>
    <w:basedOn w:val="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字符"/>
    <w:basedOn w:val="6"/>
    <w:link w:val="5"/>
    <w:qFormat/>
    <w:uiPriority w:val="99"/>
    <w:rPr>
      <w:sz w:val="18"/>
      <w:szCs w:val="18"/>
    </w:rPr>
  </w:style>
  <w:style w:type="character" w:customStyle="1" w:styleId="11">
    <w:name w:val="页脚字符"/>
    <w:basedOn w:val="6"/>
    <w:link w:val="4"/>
    <w:semiHidden/>
    <w:qFormat/>
    <w:uiPriority w:val="99"/>
    <w:rPr>
      <w:sz w:val="18"/>
      <w:szCs w:val="18"/>
    </w:rPr>
  </w:style>
  <w:style w:type="character" w:customStyle="1" w:styleId="12">
    <w:name w:val="批注框文本字符"/>
    <w:basedOn w:val="6"/>
    <w:link w:val="3"/>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685</Words>
  <Characters>3906</Characters>
  <Lines>32</Lines>
  <Paragraphs>9</Paragraphs>
  <TotalTime>3</TotalTime>
  <ScaleCrop>false</ScaleCrop>
  <LinksUpToDate>false</LinksUpToDate>
  <CharactersWithSpaces>4582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2018-05-25T10:22:00Z</dcterms:created>
  <dc:creator>juvg</dc:creator>
  <cp:lastModifiedBy>A-may</cp:lastModifiedBy>
  <dcterms:modified xsi:type="dcterms:W3CDTF">2019-02-22T01:17:16Z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