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【跨文化交际】</w:t>
      </w:r>
    </w:p>
    <w:p>
      <w:pPr>
        <w:shd w:val="clear" w:color="auto" w:fill="F5F5F5"/>
        <w:jc w:val="center"/>
        <w:textAlignment w:val="top"/>
        <w:rPr>
          <w:rFonts w:ascii="Arial" w:hAnsi="Arial" w:cs="Arial"/>
          <w:color w:val="888888"/>
          <w:kern w:val="0"/>
          <w:sz w:val="20"/>
          <w:szCs w:val="20"/>
        </w:rPr>
      </w:pPr>
      <w:r>
        <w:rPr>
          <w:rFonts w:hint="eastAsia"/>
          <w:b/>
          <w:sz w:val="28"/>
          <w:szCs w:val="30"/>
        </w:rPr>
        <w:t>【Intercultural Communicatio</w:t>
      </w:r>
      <w:bookmarkStart w:id="0" w:name="a2"/>
      <w:bookmarkEnd w:id="0"/>
      <w:r>
        <w:rPr>
          <w:rFonts w:hint="eastAsia"/>
          <w:b/>
          <w:sz w:val="28"/>
          <w:szCs w:val="30"/>
        </w:rPr>
        <w:t>n】</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kern w:val="0"/>
          <w:sz w:val="20"/>
          <w:szCs w:val="20"/>
        </w:rPr>
      </w:pPr>
      <w:r>
        <w:rPr>
          <w:b/>
          <w:bCs/>
          <w:color w:val="000000"/>
          <w:sz w:val="20"/>
          <w:szCs w:val="20"/>
        </w:rPr>
        <w:t>课程代码：</w:t>
      </w:r>
      <w:r>
        <w:rPr>
          <w:rFonts w:hint="eastAsia"/>
          <w:b/>
          <w:bCs/>
          <w:color w:val="000000"/>
          <w:sz w:val="20"/>
          <w:szCs w:val="20"/>
        </w:rPr>
        <w:t>【</w:t>
      </w:r>
      <w:r>
        <w:rPr>
          <w:color w:val="000000"/>
          <w:kern w:val="0"/>
          <w:sz w:val="20"/>
          <w:szCs w:val="20"/>
        </w:rPr>
        <w:t>2020</w:t>
      </w:r>
      <w:r>
        <w:rPr>
          <w:rFonts w:hint="eastAsia"/>
          <w:color w:val="000000"/>
          <w:kern w:val="0"/>
          <w:sz w:val="20"/>
          <w:szCs w:val="20"/>
        </w:rPr>
        <w:t>529</w:t>
      </w:r>
      <w:r>
        <w:rPr>
          <w:rFonts w:hint="eastAsia"/>
          <w:b/>
          <w:bCs/>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rFonts w:hint="eastAsia"/>
          <w:b/>
          <w:bCs/>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英语</w:t>
      </w:r>
    </w:p>
    <w:p>
      <w:pPr>
        <w:snapToGrid w:val="0"/>
        <w:spacing w:line="288" w:lineRule="auto"/>
        <w:ind w:firstLine="394" w:firstLineChars="196"/>
        <w:rPr>
          <w:color w:val="FF0000"/>
          <w:sz w:val="20"/>
          <w:szCs w:val="20"/>
          <w:highlight w:val="yellow"/>
        </w:rPr>
      </w:pPr>
      <w:r>
        <w:rPr>
          <w:b/>
          <w:bCs/>
          <w:color w:val="000000"/>
          <w:sz w:val="20"/>
          <w:szCs w:val="20"/>
        </w:rPr>
        <w:t>课程性质：</w:t>
      </w:r>
      <w:r>
        <w:rPr>
          <w:rFonts w:hint="eastAsia"/>
          <w:sz w:val="20"/>
          <w:szCs w:val="20"/>
        </w:rPr>
        <w:t>专业核心课</w:t>
      </w:r>
      <w:r>
        <w:rPr>
          <w:rFonts w:hint="eastAsia" w:ascii="宋体" w:hAnsi="宋体"/>
          <w:color w:val="000000"/>
          <w:sz w:val="20"/>
          <w:szCs w:val="20"/>
        </w:rPr>
        <w:t>◎</w:t>
      </w:r>
    </w:p>
    <w:p>
      <w:pPr>
        <w:snapToGrid w:val="0"/>
        <w:spacing w:line="300" w:lineRule="auto"/>
        <w:ind w:firstLine="394" w:firstLineChars="196"/>
        <w:rPr>
          <w:b/>
          <w:bCs/>
          <w:color w:val="000000"/>
          <w:szCs w:val="21"/>
        </w:rPr>
      </w:pPr>
      <w:r>
        <w:rPr>
          <w:b/>
          <w:bCs/>
          <w:color w:val="000000"/>
          <w:sz w:val="20"/>
          <w:szCs w:val="20"/>
        </w:rPr>
        <w:t>开课院系：</w:t>
      </w:r>
      <w:r>
        <w:rPr>
          <w:rFonts w:hAnsi="宋体"/>
          <w:bCs/>
          <w:color w:val="000000"/>
          <w:sz w:val="20"/>
          <w:szCs w:val="20"/>
        </w:rPr>
        <w:t>外国语学院</w:t>
      </w:r>
      <w:r>
        <w:rPr>
          <w:rFonts w:hint="eastAsia" w:hAnsi="宋体"/>
          <w:bCs/>
          <w:color w:val="000000"/>
          <w:sz w:val="20"/>
          <w:szCs w:val="20"/>
        </w:rPr>
        <w:t>英语系</w:t>
      </w:r>
    </w:p>
    <w:p>
      <w:pPr>
        <w:snapToGrid w:val="0"/>
        <w:spacing w:line="288" w:lineRule="auto"/>
        <w:ind w:firstLine="413" w:firstLineChars="196"/>
        <w:rPr>
          <w:b/>
          <w:bCs/>
          <w:color w:val="000000"/>
          <w:szCs w:val="21"/>
        </w:rPr>
      </w:pP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20"/>
        <w:rPr>
          <w:rFonts w:hAnsi="宋体"/>
          <w:bCs/>
          <w:color w:val="000000"/>
          <w:sz w:val="20"/>
          <w:szCs w:val="20"/>
        </w:rPr>
      </w:pPr>
      <w:r>
        <w:rPr>
          <w:color w:val="000000"/>
          <w:sz w:val="20"/>
          <w:szCs w:val="20"/>
        </w:rPr>
        <w:t>教材</w:t>
      </w:r>
      <w:r>
        <w:rPr>
          <w:rFonts w:hint="eastAsia"/>
          <w:color w:val="000000"/>
          <w:sz w:val="20"/>
          <w:szCs w:val="20"/>
        </w:rPr>
        <w:t>：</w:t>
      </w:r>
      <w:r>
        <w:rPr>
          <w:rFonts w:hAnsi="宋体"/>
          <w:bCs/>
          <w:color w:val="000000"/>
          <w:sz w:val="20"/>
          <w:szCs w:val="20"/>
        </w:rPr>
        <w:t>《大学英语跨文化交际教程》</w:t>
      </w:r>
      <w:r>
        <w:rPr>
          <w:rFonts w:hint="eastAsia" w:hAnsi="宋体"/>
          <w:bCs/>
          <w:color w:val="000000"/>
          <w:sz w:val="20"/>
          <w:szCs w:val="20"/>
        </w:rPr>
        <w:t>（第</w:t>
      </w:r>
      <w:r>
        <w:rPr>
          <w:rFonts w:hAnsi="宋体"/>
          <w:bCs/>
          <w:color w:val="000000"/>
          <w:sz w:val="20"/>
          <w:szCs w:val="20"/>
        </w:rPr>
        <w:t>3</w:t>
      </w:r>
      <w:r>
        <w:rPr>
          <w:rFonts w:hint="eastAsia" w:hAnsi="宋体"/>
          <w:bCs/>
          <w:color w:val="000000"/>
          <w:sz w:val="20"/>
          <w:szCs w:val="20"/>
        </w:rPr>
        <w:t>版），严明主编，清华大学出版社，20</w:t>
      </w:r>
      <w:r>
        <w:rPr>
          <w:rFonts w:hAnsi="宋体"/>
          <w:bCs/>
          <w:color w:val="000000"/>
          <w:sz w:val="20"/>
          <w:szCs w:val="20"/>
        </w:rPr>
        <w:t>22</w:t>
      </w:r>
      <w:r>
        <w:rPr>
          <w:rFonts w:hint="eastAsia" w:hAnsi="宋体"/>
          <w:bCs/>
          <w:color w:val="000000"/>
          <w:sz w:val="20"/>
          <w:szCs w:val="20"/>
        </w:rPr>
        <w:t>.</w:t>
      </w:r>
    </w:p>
    <w:p>
      <w:pPr>
        <w:snapToGrid w:val="0"/>
        <w:spacing w:line="288" w:lineRule="auto"/>
        <w:ind w:firstLine="420"/>
        <w:rPr>
          <w:color w:val="000000"/>
          <w:sz w:val="20"/>
          <w:szCs w:val="20"/>
        </w:rPr>
      </w:pPr>
      <w:r>
        <w:rPr>
          <w:color w:val="000000"/>
          <w:sz w:val="20"/>
          <w:szCs w:val="20"/>
        </w:rPr>
        <w:t>参考</w:t>
      </w:r>
      <w:r>
        <w:rPr>
          <w:rFonts w:hint="eastAsia"/>
          <w:color w:val="000000"/>
          <w:sz w:val="20"/>
          <w:szCs w:val="20"/>
        </w:rPr>
        <w:t>书目: 《跨文化交际学概论》，胡文仲著， 外语教学与研究出版社， 2015重印版；</w:t>
      </w:r>
    </w:p>
    <w:p>
      <w:pPr>
        <w:snapToGrid w:val="0"/>
        <w:spacing w:line="288" w:lineRule="auto"/>
        <w:ind w:firstLine="1418" w:firstLineChars="709"/>
        <w:rPr>
          <w:bCs/>
          <w:color w:val="000000"/>
          <w:sz w:val="20"/>
          <w:szCs w:val="20"/>
        </w:rPr>
      </w:pPr>
      <w:r>
        <w:rPr>
          <w:rFonts w:hint="eastAsia"/>
          <w:bCs/>
          <w:color w:val="000000"/>
          <w:sz w:val="20"/>
          <w:szCs w:val="20"/>
        </w:rPr>
        <w:t>《</w:t>
      </w:r>
      <w:r>
        <w:rPr>
          <w:bCs/>
          <w:color w:val="000000"/>
          <w:sz w:val="20"/>
          <w:szCs w:val="20"/>
        </w:rPr>
        <w:t>跨文化交际学基础</w:t>
      </w:r>
      <w:r>
        <w:rPr>
          <w:rFonts w:hint="eastAsia"/>
          <w:bCs/>
          <w:color w:val="000000"/>
          <w:sz w:val="20"/>
          <w:szCs w:val="20"/>
        </w:rPr>
        <w:t>》，</w:t>
      </w:r>
      <w:r>
        <w:fldChar w:fldCharType="begin"/>
      </w:r>
      <w:r>
        <w:instrText xml:space="preserve"> HYPERLINK "https://book.douban.com/search/William%20J.Starosta" </w:instrText>
      </w:r>
      <w:r>
        <w:fldChar w:fldCharType="separate"/>
      </w:r>
      <w:r>
        <w:rPr>
          <w:bCs/>
          <w:color w:val="000000"/>
          <w:sz w:val="20"/>
          <w:szCs w:val="20"/>
        </w:rPr>
        <w:t>William J.Starosta</w:t>
      </w:r>
      <w:r>
        <w:rPr>
          <w:bCs/>
          <w:color w:val="000000"/>
          <w:sz w:val="20"/>
          <w:szCs w:val="20"/>
        </w:rPr>
        <w:fldChar w:fldCharType="end"/>
      </w:r>
      <w:r>
        <w:rPr>
          <w:bCs/>
          <w:color w:val="000000"/>
          <w:sz w:val="20"/>
          <w:szCs w:val="20"/>
        </w:rPr>
        <w:t> </w:t>
      </w:r>
      <w:r>
        <w:rPr>
          <w:rFonts w:hint="eastAsia" w:hAnsi="宋体"/>
          <w:bCs/>
          <w:color w:val="000000"/>
          <w:sz w:val="20"/>
          <w:szCs w:val="20"/>
        </w:rPr>
        <w:t>主编</w:t>
      </w:r>
      <w:r>
        <w:rPr>
          <w:bCs/>
          <w:color w:val="000000"/>
          <w:sz w:val="20"/>
          <w:szCs w:val="20"/>
        </w:rPr>
        <w:t>，上海外语教育出版社</w:t>
      </w:r>
      <w:r>
        <w:rPr>
          <w:rFonts w:hint="eastAsia"/>
          <w:bCs/>
          <w:color w:val="000000"/>
          <w:sz w:val="20"/>
          <w:szCs w:val="20"/>
        </w:rPr>
        <w:t>，2007.</w:t>
      </w:r>
    </w:p>
    <w:p>
      <w:pPr>
        <w:snapToGrid w:val="0"/>
        <w:spacing w:line="288" w:lineRule="auto"/>
        <w:ind w:firstLine="1418" w:firstLineChars="709"/>
        <w:rPr>
          <w:bCs/>
          <w:color w:val="000000"/>
          <w:sz w:val="20"/>
          <w:szCs w:val="20"/>
        </w:rPr>
      </w:pPr>
      <w:r>
        <w:rPr>
          <w:rFonts w:hint="eastAsia"/>
          <w:color w:val="000000"/>
          <w:sz w:val="20"/>
          <w:szCs w:val="20"/>
        </w:rPr>
        <w:t>《跨文化交际学》，贾玉新</w:t>
      </w:r>
      <w:r>
        <w:rPr>
          <w:rFonts w:hint="eastAsia" w:hAnsi="宋体"/>
          <w:bCs/>
          <w:color w:val="000000"/>
          <w:sz w:val="20"/>
          <w:szCs w:val="20"/>
        </w:rPr>
        <w:t>主编</w:t>
      </w:r>
      <w:r>
        <w:rPr>
          <w:bCs/>
          <w:color w:val="000000"/>
          <w:sz w:val="20"/>
          <w:szCs w:val="20"/>
        </w:rPr>
        <w:t>，上海外语教育出版社</w:t>
      </w:r>
      <w:r>
        <w:rPr>
          <w:rFonts w:hint="eastAsia"/>
          <w:bCs/>
          <w:color w:val="000000"/>
          <w:sz w:val="20"/>
          <w:szCs w:val="20"/>
        </w:rPr>
        <w:t>，2007.</w:t>
      </w:r>
    </w:p>
    <w:p>
      <w:pPr>
        <w:snapToGrid w:val="0"/>
        <w:spacing w:line="288" w:lineRule="auto"/>
        <w:rPr>
          <w:color w:val="000000"/>
          <w:sz w:val="20"/>
          <w:szCs w:val="20"/>
        </w:rPr>
      </w:pP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left="425" w:leftChars="190" w:hanging="26" w:hangingChars="13"/>
        <w:rPr>
          <w:color w:val="000000"/>
          <w:sz w:val="20"/>
          <w:szCs w:val="20"/>
        </w:rPr>
      </w:pPr>
      <w:r>
        <w:rPr>
          <w:color w:val="000000"/>
          <w:sz w:val="20"/>
          <w:szCs w:val="20"/>
        </w:rPr>
        <w:t>https://elearning.gench.edu.cn:8443</w:t>
      </w:r>
    </w:p>
    <w:p>
      <w:pPr>
        <w:adjustRightInd w:val="0"/>
        <w:snapToGrid w:val="0"/>
        <w:spacing w:line="288" w:lineRule="auto"/>
        <w:ind w:firstLine="394" w:firstLineChars="196"/>
        <w:rPr>
          <w:color w:val="000000" w:themeColor="text1"/>
          <w:sz w:val="20"/>
          <w:szCs w:val="20"/>
          <w14:textFill>
            <w14:solidFill>
              <w14:schemeClr w14:val="tx1"/>
            </w14:solidFill>
          </w14:textFill>
        </w:rPr>
      </w:pPr>
      <w:r>
        <w:rPr>
          <w:b/>
          <w:bCs/>
          <w:color w:val="000000"/>
          <w:sz w:val="20"/>
          <w:szCs w:val="20"/>
        </w:rPr>
        <w:t>先修课程：</w:t>
      </w:r>
      <w:r>
        <w:rPr>
          <w:rFonts w:hint="eastAsia"/>
          <w:b/>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综合英语</w:t>
      </w:r>
      <w:r>
        <w:rPr>
          <w:color w:val="000000" w:themeColor="text1"/>
          <w:sz w:val="20"/>
          <w:szCs w:val="20"/>
          <w14:textFill>
            <w14:solidFill>
              <w14:schemeClr w14:val="tx1"/>
            </w14:solidFill>
          </w14:textFill>
        </w:rPr>
        <w:t xml:space="preserve"> 1</w:t>
      </w:r>
      <w:r>
        <w:rPr>
          <w:rFonts w:hint="eastAsia"/>
          <w:b/>
          <w:bCs/>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2020340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w:t>
      </w:r>
      <w:r>
        <w:rPr>
          <w:rFonts w:hint="eastAsia"/>
          <w:b/>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综合英语</w:t>
      </w:r>
      <w:r>
        <w:rPr>
          <w:color w:val="000000" w:themeColor="text1"/>
          <w:sz w:val="20"/>
          <w:szCs w:val="20"/>
          <w14:textFill>
            <w14:solidFill>
              <w14:schemeClr w14:val="tx1"/>
            </w14:solidFill>
          </w14:textFill>
        </w:rPr>
        <w:t xml:space="preserve"> 2</w:t>
      </w:r>
      <w:r>
        <w:rPr>
          <w:rFonts w:hint="eastAsia"/>
          <w:b/>
          <w:bCs/>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2020341</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w:t>
      </w:r>
      <w:r>
        <w:rPr>
          <w:rFonts w:hint="eastAsia"/>
          <w:b/>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综合英语</w:t>
      </w:r>
      <w:r>
        <w:rPr>
          <w:color w:val="000000" w:themeColor="text1"/>
          <w:sz w:val="20"/>
          <w:szCs w:val="20"/>
          <w14:textFill>
            <w14:solidFill>
              <w14:schemeClr w14:val="tx1"/>
            </w14:solidFill>
          </w14:textFill>
        </w:rPr>
        <w:t xml:space="preserve"> 3</w:t>
      </w:r>
      <w:r>
        <w:rPr>
          <w:rFonts w:hint="eastAsia"/>
          <w:b/>
          <w:bCs/>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2020342</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）；《英语国家概况》（</w:t>
      </w:r>
      <w:r>
        <w:rPr>
          <w:color w:val="000000" w:themeColor="text1"/>
          <w:sz w:val="20"/>
          <w:szCs w:val="20"/>
          <w14:textFill>
            <w14:solidFill>
              <w14:schemeClr w14:val="tx1"/>
            </w14:solidFill>
          </w14:textFill>
        </w:rPr>
        <w:t>2020129</w:t>
      </w:r>
      <w:r>
        <w:rPr>
          <w:rFonts w:hint="eastAsia"/>
          <w:color w:val="000000" w:themeColor="text1"/>
          <w:sz w:val="20"/>
          <w:szCs w:val="20"/>
          <w14:textFill>
            <w14:solidFill>
              <w14:schemeClr w14:val="tx1"/>
            </w14:solidFill>
          </w14:textFill>
        </w:rPr>
        <w:t>）（2）。</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288" w:lineRule="auto"/>
        <w:ind w:firstLine="420"/>
        <w:rPr>
          <w:rFonts w:hAnsi="宋体"/>
          <w:bCs/>
          <w:color w:val="000000"/>
          <w:sz w:val="20"/>
          <w:szCs w:val="20"/>
        </w:rPr>
      </w:pPr>
      <w:r>
        <w:rPr>
          <w:rFonts w:hint="eastAsia" w:hAnsi="宋体"/>
          <w:bCs/>
          <w:color w:val="000000"/>
          <w:sz w:val="20"/>
          <w:szCs w:val="20"/>
        </w:rPr>
        <w:t>本课程是面向英语专业本科学生开设的一门专业核心课程。通过学习相关概念和理论，对外语国家尤其英语国家较为典型的主流现象进行描述、阐释和讨论，培养学生对目的语文化的理解力，进而使学生主动观察、分析、对比、评价文化及文化差异现象，使学生能够较为客观、系统、全面地认识英语国家的文化，以有效拓宽学生的国际视野，提高学生的跨文化交际意识，培养学生的跨文化交际能力，达到国家对英语专业提出的人才培养要求。</w:t>
      </w:r>
    </w:p>
    <w:p>
      <w:pPr>
        <w:adjustRightInd w:val="0"/>
        <w:snapToGrid w:val="0"/>
        <w:spacing w:before="156" w:beforeLines="50" w:after="156" w:afterLines="50" w:line="288" w:lineRule="auto"/>
        <w:ind w:firstLine="420"/>
        <w:rPr>
          <w:color w:val="000000"/>
          <w:sz w:val="20"/>
          <w:szCs w:val="20"/>
        </w:rPr>
      </w:pPr>
      <w:r>
        <w:rPr>
          <w:rFonts w:hint="eastAsia" w:hAnsi="宋体"/>
          <w:bCs/>
          <w:color w:val="000000"/>
          <w:sz w:val="20"/>
          <w:szCs w:val="20"/>
        </w:rPr>
        <w:t>本课程旨在帮助学生解决跨文化交际中因文化差异而产生的种种困惑，促进学生对中西方文化及跨文化交际理论的了解，培养学生对文化差异的敏感度及分析能力，进而逐步提高学生在跨文化交际中解决问题的能力，使他们能用英语与来自不同文化的人们进行得体有效的信息交流。</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Ansi="宋体"/>
          <w:bCs/>
          <w:color w:val="000000"/>
          <w:sz w:val="20"/>
          <w:szCs w:val="20"/>
        </w:rPr>
        <w:t>本课程是英语专业</w:t>
      </w:r>
      <w:r>
        <w:rPr>
          <w:rFonts w:hint="eastAsia" w:hAnsi="宋体"/>
          <w:bCs/>
          <w:color w:val="000000"/>
          <w:sz w:val="20"/>
          <w:szCs w:val="20"/>
        </w:rPr>
        <w:t>本</w:t>
      </w:r>
      <w:r>
        <w:rPr>
          <w:rFonts w:hAnsi="宋体"/>
          <w:bCs/>
          <w:color w:val="000000"/>
          <w:sz w:val="20"/>
          <w:szCs w:val="20"/>
        </w:rPr>
        <w:t>科的</w:t>
      </w:r>
      <w:r>
        <w:rPr>
          <w:rFonts w:hint="eastAsia" w:hAnsi="宋体"/>
          <w:bCs/>
          <w:color w:val="000000"/>
          <w:sz w:val="20"/>
          <w:szCs w:val="20"/>
        </w:rPr>
        <w:t>专业核心课程</w:t>
      </w:r>
      <w:r>
        <w:rPr>
          <w:rFonts w:hAnsi="宋体"/>
          <w:bCs/>
          <w:color w:val="000000"/>
          <w:sz w:val="20"/>
          <w:szCs w:val="20"/>
        </w:rPr>
        <w:t>，适合对</w:t>
      </w:r>
      <w:r>
        <w:rPr>
          <w:rFonts w:hint="eastAsia" w:hAnsi="宋体"/>
          <w:bCs/>
          <w:color w:val="000000"/>
          <w:sz w:val="20"/>
          <w:szCs w:val="20"/>
        </w:rPr>
        <w:t>本科二年级下学期</w:t>
      </w:r>
      <w:r>
        <w:rPr>
          <w:rFonts w:hAnsi="宋体"/>
          <w:bCs/>
          <w:color w:val="000000"/>
          <w:sz w:val="20"/>
          <w:szCs w:val="20"/>
        </w:rPr>
        <w:t>的学生开设；要求学生已顺利完成</w:t>
      </w:r>
      <w:r>
        <w:rPr>
          <w:rFonts w:hint="eastAsia" w:hAnsi="宋体"/>
          <w:bCs/>
          <w:color w:val="000000"/>
          <w:sz w:val="20"/>
          <w:szCs w:val="20"/>
        </w:rPr>
        <w:t>《综合</w:t>
      </w:r>
      <w:r>
        <w:rPr>
          <w:rFonts w:hAnsi="宋体"/>
          <w:bCs/>
          <w:color w:val="000000"/>
          <w:sz w:val="20"/>
          <w:szCs w:val="20"/>
        </w:rPr>
        <w:t>英语</w:t>
      </w:r>
      <w:r>
        <w:rPr>
          <w:bCs/>
          <w:color w:val="000000"/>
          <w:sz w:val="20"/>
          <w:szCs w:val="20"/>
        </w:rPr>
        <w:t>1</w:t>
      </w:r>
      <w:r>
        <w:rPr>
          <w:rFonts w:hAnsi="宋体"/>
          <w:bCs/>
          <w:color w:val="000000"/>
          <w:sz w:val="20"/>
          <w:szCs w:val="20"/>
        </w:rPr>
        <w:t>、</w:t>
      </w:r>
      <w:r>
        <w:rPr>
          <w:bCs/>
          <w:color w:val="000000"/>
          <w:sz w:val="20"/>
          <w:szCs w:val="20"/>
        </w:rPr>
        <w:t>2</w:t>
      </w:r>
      <w:r>
        <w:rPr>
          <w:rFonts w:hint="eastAsia"/>
          <w:bCs/>
          <w:color w:val="000000"/>
          <w:sz w:val="20"/>
          <w:szCs w:val="20"/>
        </w:rPr>
        <w:t>、3》</w:t>
      </w:r>
      <w:r>
        <w:rPr>
          <w:rFonts w:hAnsi="宋体"/>
          <w:bCs/>
          <w:color w:val="000000"/>
          <w:sz w:val="20"/>
          <w:szCs w:val="20"/>
        </w:rPr>
        <w:t>册</w:t>
      </w:r>
      <w:r>
        <w:rPr>
          <w:rFonts w:hint="eastAsia" w:hAnsi="宋体"/>
          <w:bCs/>
          <w:color w:val="000000"/>
          <w:sz w:val="20"/>
          <w:szCs w:val="20"/>
        </w:rPr>
        <w:t>的</w:t>
      </w:r>
      <w:r>
        <w:rPr>
          <w:rFonts w:hAnsi="宋体"/>
          <w:bCs/>
          <w:color w:val="000000"/>
          <w:sz w:val="20"/>
          <w:szCs w:val="20"/>
        </w:rPr>
        <w:t>学习任务</w:t>
      </w:r>
      <w:r>
        <w:rPr>
          <w:rFonts w:hint="eastAsia" w:hAnsi="宋体"/>
          <w:bCs/>
          <w:color w:val="000000"/>
          <w:sz w:val="20"/>
          <w:szCs w:val="20"/>
        </w:rPr>
        <w:t>，掌握</w:t>
      </w:r>
      <w:r>
        <w:rPr>
          <w:bCs/>
          <w:color w:val="000000"/>
          <w:sz w:val="20"/>
          <w:szCs w:val="20"/>
        </w:rPr>
        <w:t>4500~5500</w:t>
      </w:r>
      <w:r>
        <w:rPr>
          <w:rFonts w:hAnsi="宋体"/>
          <w:bCs/>
          <w:color w:val="000000"/>
          <w:sz w:val="20"/>
          <w:szCs w:val="20"/>
        </w:rPr>
        <w:t>左右的英语词汇量、初步的词汇学和语法学理论知识</w:t>
      </w:r>
      <w:r>
        <w:rPr>
          <w:rFonts w:hint="eastAsia" w:hAnsi="宋体"/>
          <w:bCs/>
          <w:color w:val="000000"/>
          <w:sz w:val="20"/>
          <w:szCs w:val="20"/>
        </w:rPr>
        <w:t>以及英美文化知识。</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理解他人的观点，尊重他人的价值观，能在不同场合用书面或口头形式进行有效沟通</w:t>
            </w:r>
            <w:r>
              <w:rPr>
                <w:rFonts w:hint="eastAsia" w:ascii="仿宋" w:hAnsi="仿宋" w:eastAsia="仿宋" w:cs="宋体"/>
                <w:color w:val="000000"/>
                <w:kern w:val="0"/>
                <w:sz w:val="24"/>
                <w:szCs w:val="24"/>
              </w:rPr>
              <w:t>。</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rPr>
              <w:t>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仿宋" w:hAnsi="仿宋" w:eastAsia="仿宋" w:cs="宋体"/>
                <w:color w:val="000000"/>
                <w:kern w:val="0"/>
                <w:sz w:val="24"/>
              </w:rPr>
              <w:t>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仿宋" w:hAnsi="仿宋" w:eastAsia="仿宋" w:cs="宋体"/>
                <w:color w:val="000000"/>
                <w:kern w:val="0"/>
                <w:sz w:val="24"/>
              </w:rPr>
              <w:t>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仿宋" w:hAnsi="仿宋" w:eastAsia="仿宋" w:cs="宋体"/>
                <w:color w:val="000000"/>
                <w:kern w:val="0"/>
                <w:sz w:val="24"/>
              </w:rPr>
              <w:t>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hint="eastAsia" w:ascii="仿宋" w:hAnsi="仿宋" w:eastAsia="仿宋" w:cs="宋体"/>
                <w:color w:val="000000"/>
                <w:kern w:val="0"/>
                <w:sz w:val="24"/>
              </w:rPr>
              <w:t>掌握中小学英语教育基础知识和教学理论，具备开展英语教学的能力。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r>
              <w:rPr>
                <w:rFonts w:hint="eastAsia" w:ascii="仿宋" w:hAnsi="仿宋" w:eastAsia="仿宋" w:cs="宋体"/>
                <w:color w:val="000000"/>
                <w:kern w:val="0"/>
                <w:sz w:val="24"/>
              </w:rPr>
              <w:t>掌握现代教育技术和文献检索、资料查询的方法，具备初步的教学科研能力。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r>
              <w:rPr>
                <w:rFonts w:hint="eastAsia" w:ascii="仿宋" w:hAnsi="仿宋" w:eastAsia="仿宋" w:cs="宋体"/>
                <w:color w:val="000000"/>
                <w:kern w:val="0"/>
                <w:sz w:val="24"/>
              </w:rPr>
              <w:t>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仿宋" w:hAnsi="仿宋" w:eastAsia="仿宋" w:cs="宋体"/>
                <w:color w:val="000000"/>
                <w:kern w:val="0"/>
                <w:sz w:val="24"/>
              </w:rPr>
              <w:t>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w:t>
            </w:r>
            <w:r>
              <w:rPr>
                <w:rFonts w:hint="eastAsia" w:ascii="仿宋" w:hAnsi="仿宋" w:eastAsia="仿宋" w:cs="宋体"/>
                <w:color w:val="000000"/>
                <w:kern w:val="0"/>
                <w:sz w:val="24"/>
              </w:rPr>
              <w:t>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仿宋" w:hAnsi="仿宋" w:eastAsia="仿宋"/>
                <w:sz w:val="24"/>
              </w:rPr>
              <w:t>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w:t>
            </w:r>
            <w:r>
              <w:rPr>
                <w:rFonts w:hint="eastAsia" w:ascii="仿宋" w:hAnsi="仿宋" w:eastAsia="仿宋" w:cs="宋体"/>
                <w:color w:val="000000"/>
                <w:kern w:val="0"/>
                <w:sz w:val="24"/>
              </w:rPr>
              <w:t>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2551"/>
        <w:gridCol w:w="198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3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98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34"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551"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lang w:bidi="ar"/>
              </w:rPr>
              <w:t>应用书面或口头形式，阐释自己的观点，有效沟通。</w:t>
            </w:r>
          </w:p>
        </w:tc>
        <w:tc>
          <w:tcPr>
            <w:tcW w:w="1985"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课堂讨论、案例分析、预习、课后作业</w:t>
            </w:r>
          </w:p>
        </w:tc>
        <w:tc>
          <w:tcPr>
            <w:tcW w:w="1593"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口头报告+PPT；书面报告；</w:t>
            </w:r>
          </w:p>
          <w:p>
            <w:pPr>
              <w:rPr>
                <w:rFonts w:ascii="宋体" w:hAnsi="宋体" w:cs="宋体"/>
                <w:color w:val="000000"/>
                <w:kern w:val="0"/>
                <w:sz w:val="20"/>
                <w:szCs w:val="20"/>
                <w:lang w:bidi="ar"/>
              </w:rPr>
            </w:pPr>
            <w:r>
              <w:rPr>
                <w:rFonts w:hint="eastAsia" w:ascii="宋体" w:hAnsi="宋体" w:cs="宋体"/>
                <w:color w:val="000000"/>
                <w:kern w:val="0"/>
                <w:sz w:val="20"/>
                <w:szCs w:val="20"/>
                <w:lang w:bidi="ar"/>
              </w:rPr>
              <w:t>课堂参与度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auto"/>
          </w:tcPr>
          <w:p>
            <w:pPr>
              <w:rPr>
                <w:rFonts w:ascii="仿宋" w:hAnsi="仿宋" w:eastAsia="仿宋" w:cs="宋体"/>
                <w:color w:val="000000"/>
                <w:kern w:val="0"/>
                <w:sz w:val="24"/>
              </w:rPr>
            </w:pPr>
          </w:p>
          <w:p>
            <w:pPr>
              <w:rPr>
                <w:rFonts w:ascii="仿宋" w:hAnsi="仿宋" w:eastAsia="仿宋" w:cs="宋体"/>
                <w:color w:val="000000"/>
                <w:kern w:val="0"/>
                <w:sz w:val="24"/>
              </w:rPr>
            </w:pPr>
            <w:r>
              <w:rPr>
                <w:rFonts w:ascii="仿宋" w:hAnsi="仿宋" w:eastAsia="仿宋" w:cs="宋体"/>
                <w:color w:val="000000"/>
                <w:kern w:val="0"/>
                <w:sz w:val="24"/>
              </w:rPr>
              <w:t>2</w:t>
            </w:r>
          </w:p>
        </w:tc>
        <w:tc>
          <w:tcPr>
            <w:tcW w:w="1134" w:type="dxa"/>
            <w:vMerge w:val="restart"/>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551"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lang w:bidi="ar"/>
              </w:rPr>
              <w:t>掌握主要哲学概念，理解不同文化观念。</w:t>
            </w:r>
          </w:p>
        </w:tc>
        <w:tc>
          <w:tcPr>
            <w:tcW w:w="1985"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讲授、讨论、预习、课后作业</w:t>
            </w:r>
          </w:p>
        </w:tc>
        <w:tc>
          <w:tcPr>
            <w:tcW w:w="1593"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口头报告+PPT；期末笔试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tcPr>
          <w:p>
            <w:pPr>
              <w:rPr>
                <w:rFonts w:ascii="仿宋" w:hAnsi="仿宋" w:eastAsia="仿宋" w:cs="宋体"/>
                <w:color w:val="000000"/>
                <w:kern w:val="0"/>
                <w:sz w:val="24"/>
              </w:rPr>
            </w:pPr>
          </w:p>
        </w:tc>
        <w:tc>
          <w:tcPr>
            <w:tcW w:w="1134" w:type="dxa"/>
            <w:vMerge w:val="continue"/>
            <w:shd w:val="clear" w:color="auto" w:fill="auto"/>
          </w:tcPr>
          <w:p>
            <w:pPr>
              <w:rPr>
                <w:rFonts w:ascii="仿宋" w:hAnsi="仿宋" w:eastAsia="仿宋" w:cs="宋体"/>
                <w:color w:val="000000"/>
                <w:kern w:val="0"/>
                <w:sz w:val="24"/>
              </w:rPr>
            </w:pPr>
          </w:p>
        </w:tc>
        <w:tc>
          <w:tcPr>
            <w:tcW w:w="2551" w:type="dxa"/>
            <w:shd w:val="clear" w:color="auto" w:fill="auto"/>
          </w:tcPr>
          <w:p>
            <w:pPr>
              <w:rPr>
                <w:rFonts w:ascii="仿宋" w:hAnsi="仿宋" w:eastAsia="仿宋" w:cs="宋体"/>
                <w:color w:val="000000"/>
                <w:kern w:val="0"/>
                <w:sz w:val="24"/>
                <w:szCs w:val="24"/>
              </w:rPr>
            </w:pPr>
            <w:r>
              <w:rPr>
                <w:rFonts w:hint="eastAsia" w:ascii="宋体" w:hAnsi="宋体" w:cs="宋体"/>
                <w:color w:val="000000"/>
                <w:kern w:val="0"/>
                <w:sz w:val="20"/>
                <w:szCs w:val="20"/>
                <w:lang w:bidi="ar"/>
              </w:rPr>
              <w:t>掌握中西方文化比较方法，提高跨文化交际中分析问题与解决问题的能力。</w:t>
            </w:r>
          </w:p>
        </w:tc>
        <w:tc>
          <w:tcPr>
            <w:tcW w:w="1985"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讲授、案例分析、讨论</w:t>
            </w:r>
          </w:p>
        </w:tc>
        <w:tc>
          <w:tcPr>
            <w:tcW w:w="1593"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书面报告；课堂参与度；期末笔试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34"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w:t>
            </w:r>
            <w:r>
              <w:rPr>
                <w:rFonts w:ascii="仿宋" w:hAnsi="仿宋" w:eastAsia="仿宋" w:cs="宋体"/>
                <w:color w:val="000000"/>
                <w:kern w:val="0"/>
                <w:sz w:val="24"/>
              </w:rPr>
              <w:t>051</w:t>
            </w:r>
          </w:p>
          <w:p>
            <w:pPr>
              <w:rPr>
                <w:rFonts w:ascii="仿宋" w:hAnsi="仿宋" w:eastAsia="仿宋" w:cs="宋体"/>
                <w:color w:val="000000"/>
                <w:kern w:val="0"/>
                <w:sz w:val="24"/>
              </w:rPr>
            </w:pPr>
          </w:p>
        </w:tc>
        <w:tc>
          <w:tcPr>
            <w:tcW w:w="2551" w:type="dxa"/>
            <w:shd w:val="clear" w:color="auto" w:fill="auto"/>
          </w:tcPr>
          <w:p>
            <w:pPr>
              <w:rPr>
                <w:rFonts w:ascii="宋体" w:hAnsi="宋体" w:cs="宋体"/>
                <w:color w:val="000000"/>
                <w:kern w:val="0"/>
                <w:sz w:val="20"/>
                <w:szCs w:val="20"/>
                <w:lang w:bidi="ar"/>
              </w:rPr>
            </w:pPr>
            <w:r>
              <w:rPr>
                <w:rFonts w:hint="eastAsia" w:ascii="宋体" w:hAnsi="宋体" w:cs="宋体"/>
                <w:color w:val="000000" w:themeColor="text1"/>
                <w:kern w:val="0"/>
                <w:sz w:val="20"/>
                <w:szCs w:val="20"/>
                <w:lang w:bidi="ar"/>
                <w14:textFill>
                  <w14:solidFill>
                    <w14:schemeClr w14:val="tx1"/>
                  </w14:solidFill>
                </w14:textFill>
              </w:rPr>
              <w:t>和小组成员合作完成任务，善于从多个维度思考问题，用批判性的眼光看待文化差异。</w:t>
            </w:r>
          </w:p>
        </w:tc>
        <w:tc>
          <w:tcPr>
            <w:tcW w:w="1985"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案例分析、讨论、小组展示</w:t>
            </w:r>
          </w:p>
        </w:tc>
        <w:tc>
          <w:tcPr>
            <w:tcW w:w="1593"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小组展示：口头报告+PPT；</w:t>
            </w:r>
          </w:p>
          <w:p>
            <w:pPr>
              <w:rPr>
                <w:rFonts w:ascii="宋体" w:hAnsi="宋体" w:cs="宋体"/>
                <w:color w:val="000000"/>
                <w:kern w:val="0"/>
                <w:sz w:val="20"/>
                <w:szCs w:val="20"/>
                <w:lang w:bidi="ar"/>
              </w:rPr>
            </w:pPr>
            <w:r>
              <w:rPr>
                <w:rFonts w:hint="eastAsia" w:ascii="宋体" w:hAnsi="宋体" w:cs="宋体"/>
                <w:color w:val="000000"/>
                <w:kern w:val="0"/>
                <w:sz w:val="20"/>
                <w:szCs w:val="20"/>
                <w:lang w:bidi="ar"/>
              </w:rPr>
              <w:t>课堂参与度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4</w:t>
            </w:r>
          </w:p>
        </w:tc>
        <w:tc>
          <w:tcPr>
            <w:tcW w:w="1134"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L071</w:t>
            </w:r>
          </w:p>
        </w:tc>
        <w:tc>
          <w:tcPr>
            <w:tcW w:w="2551" w:type="dxa"/>
            <w:shd w:val="clear" w:color="auto" w:fill="auto"/>
          </w:tcPr>
          <w:p>
            <w:pPr>
              <w:rPr>
                <w:rFonts w:ascii="宋体" w:hAnsi="宋体" w:cs="宋体"/>
                <w:color w:val="000000"/>
                <w:kern w:val="0"/>
                <w:sz w:val="20"/>
                <w:szCs w:val="20"/>
                <w:lang w:bidi="ar"/>
              </w:rPr>
            </w:pPr>
            <w:r>
              <w:rPr>
                <w:rFonts w:hint="eastAsia"/>
                <w:color w:val="000000" w:themeColor="text1"/>
                <w14:textFill>
                  <w14:solidFill>
                    <w14:schemeClr w14:val="tx1"/>
                  </w14:solidFill>
                </w14:textFill>
              </w:rPr>
              <w:t xml:space="preserve">通过中西方文化对比，增强文化自信，培养爱国情怀。 </w:t>
            </w:r>
          </w:p>
        </w:tc>
        <w:tc>
          <w:tcPr>
            <w:tcW w:w="1985"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案例分析、讨论、小组展示、自学</w:t>
            </w:r>
          </w:p>
        </w:tc>
        <w:tc>
          <w:tcPr>
            <w:tcW w:w="1593" w:type="dxa"/>
            <w:shd w:val="clear" w:color="auto" w:fill="auto"/>
          </w:tcPr>
          <w:p>
            <w:pPr>
              <w:rPr>
                <w:rFonts w:ascii="宋体" w:hAnsi="宋体" w:cs="宋体"/>
                <w:color w:val="000000"/>
                <w:kern w:val="0"/>
                <w:sz w:val="20"/>
                <w:szCs w:val="20"/>
                <w:lang w:bidi="ar"/>
              </w:rPr>
            </w:pPr>
            <w:r>
              <w:rPr>
                <w:rFonts w:hint="eastAsia" w:ascii="宋体" w:hAnsi="宋体" w:cs="宋体"/>
                <w:color w:val="000000"/>
                <w:kern w:val="0"/>
                <w:sz w:val="20"/>
                <w:szCs w:val="20"/>
                <w:lang w:bidi="ar"/>
              </w:rPr>
              <w:t>口头报告+PPT；书面报告；</w:t>
            </w:r>
          </w:p>
          <w:p>
            <w:pPr>
              <w:rPr>
                <w:rFonts w:ascii="宋体" w:hAnsi="宋体" w:cs="宋体"/>
                <w:color w:val="000000"/>
                <w:kern w:val="0"/>
                <w:sz w:val="20"/>
                <w:szCs w:val="20"/>
                <w:lang w:bidi="ar"/>
              </w:rPr>
            </w:pPr>
            <w:r>
              <w:rPr>
                <w:rFonts w:hint="eastAsia" w:ascii="宋体" w:hAnsi="宋体" w:cs="宋体"/>
                <w:color w:val="000000"/>
                <w:kern w:val="0"/>
                <w:sz w:val="20"/>
                <w:szCs w:val="20"/>
                <w:lang w:bidi="ar"/>
              </w:rPr>
              <w:t>课堂参与度</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color w:val="FF0000"/>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color w:val="000000"/>
          <w:sz w:val="20"/>
          <w:szCs w:val="20"/>
        </w:rPr>
      </w:pPr>
      <w:r>
        <w:rPr>
          <w:rFonts w:hint="eastAsia" w:ascii="宋体" w:hAnsi="宋体"/>
          <w:sz w:val="20"/>
          <w:szCs w:val="20"/>
        </w:rPr>
        <w:t xml:space="preserve">第1单元  </w:t>
      </w:r>
      <w:r>
        <w:rPr>
          <w:rFonts w:hint="eastAsia"/>
          <w:bCs/>
          <w:color w:val="000000"/>
          <w:sz w:val="20"/>
          <w:szCs w:val="20"/>
        </w:rPr>
        <w:t>文化     理论课时数：1.5  实践课时数：0.5</w:t>
      </w:r>
    </w:p>
    <w:p>
      <w:pPr>
        <w:snapToGrid w:val="0"/>
        <w:spacing w:line="300" w:lineRule="auto"/>
        <w:ind w:right="6" w:firstLine="1400" w:firstLineChars="700"/>
        <w:rPr>
          <w:rFonts w:ascii="宋体" w:hAnsi="宋体"/>
          <w:kern w:val="0"/>
          <w:sz w:val="20"/>
        </w:rPr>
      </w:pPr>
      <w:r>
        <w:rPr>
          <w:rFonts w:hint="eastAsia" w:ascii="宋体" w:hAnsi="宋体"/>
          <w:kern w:val="0"/>
          <w:sz w:val="20"/>
        </w:rPr>
        <w:t>知道文化的定义和基本性质；</w:t>
      </w:r>
    </w:p>
    <w:p>
      <w:pPr>
        <w:snapToGrid w:val="0"/>
        <w:spacing w:line="300" w:lineRule="auto"/>
        <w:ind w:right="6" w:firstLine="1400" w:firstLineChars="700"/>
        <w:rPr>
          <w:bCs/>
          <w:color w:val="000000"/>
          <w:sz w:val="20"/>
          <w:szCs w:val="20"/>
        </w:rPr>
      </w:pPr>
      <w:r>
        <w:rPr>
          <w:rFonts w:hint="eastAsia" w:ascii="宋体" w:hAnsi="宋体"/>
          <w:kern w:val="0"/>
          <w:sz w:val="20"/>
        </w:rPr>
        <w:t>理解</w:t>
      </w:r>
      <w:r>
        <w:rPr>
          <w:rFonts w:hint="eastAsia"/>
          <w:color w:val="000000"/>
          <w:sz w:val="20"/>
          <w:szCs w:val="20"/>
        </w:rPr>
        <w:t>文化的特点、功能</w:t>
      </w:r>
      <w:r>
        <w:rPr>
          <w:rFonts w:hint="eastAsia" w:ascii="宋体" w:hAnsi="宋体"/>
          <w:kern w:val="0"/>
          <w:sz w:val="20"/>
        </w:rPr>
        <w:t>及文化认同的形成</w:t>
      </w:r>
      <w:r>
        <w:rPr>
          <w:color w:val="000000"/>
          <w:kern w:val="0"/>
          <w:sz w:val="20"/>
          <w:szCs w:val="20"/>
        </w:rPr>
        <w:t>;</w:t>
      </w:r>
    </w:p>
    <w:p>
      <w:pPr>
        <w:snapToGrid w:val="0"/>
        <w:spacing w:line="300" w:lineRule="auto"/>
        <w:ind w:right="-716" w:rightChars="-341" w:firstLine="1400" w:firstLineChars="700"/>
        <w:rPr>
          <w:color w:val="000000"/>
          <w:sz w:val="20"/>
          <w:szCs w:val="20"/>
        </w:rPr>
      </w:pPr>
      <w:r>
        <w:rPr>
          <w:rFonts w:hint="eastAsia"/>
          <w:color w:val="000000"/>
          <w:sz w:val="20"/>
          <w:szCs w:val="20"/>
        </w:rPr>
        <w:t>分析文化多样性；</w:t>
      </w:r>
    </w:p>
    <w:p>
      <w:pPr>
        <w:snapToGrid w:val="0"/>
        <w:spacing w:line="300" w:lineRule="auto"/>
        <w:ind w:right="-716" w:rightChars="-341" w:firstLine="1400" w:firstLineChars="700"/>
        <w:rPr>
          <w:color w:val="000000"/>
          <w:sz w:val="20"/>
          <w:szCs w:val="20"/>
        </w:rPr>
      </w:pPr>
      <w:r>
        <w:rPr>
          <w:color w:val="000000"/>
          <w:sz w:val="20"/>
          <w:szCs w:val="20"/>
        </w:rPr>
        <w:t>教学难点：</w:t>
      </w:r>
      <w:r>
        <w:rPr>
          <w:rFonts w:hint="eastAsia"/>
          <w:color w:val="000000"/>
          <w:sz w:val="20"/>
          <w:szCs w:val="20"/>
        </w:rPr>
        <w:t xml:space="preserve">culture identity </w:t>
      </w:r>
    </w:p>
    <w:p>
      <w:pPr>
        <w:snapToGrid w:val="0"/>
        <w:spacing w:line="300" w:lineRule="auto"/>
        <w:ind w:left="2270" w:leftChars="700" w:right="-716" w:rightChars="-341" w:hanging="800" w:hangingChars="400"/>
        <w:rPr>
          <w:color w:val="000000"/>
          <w:sz w:val="20"/>
          <w:szCs w:val="20"/>
        </w:rPr>
      </w:pPr>
      <w:r>
        <w:rPr>
          <w:rFonts w:hint="eastAsia"/>
          <w:color w:val="000000"/>
          <w:sz w:val="20"/>
          <w:szCs w:val="20"/>
        </w:rPr>
        <w:t>思政点：在讲解“文化身份”时，给学生播放《厉害了，我的国》视频片段，让其了解党的十八大以来我国的发展和成就并交流观后感，激发其对社会主义先进文化的认同感、归属感和自豪感。</w:t>
      </w:r>
    </w:p>
    <w:p>
      <w:pPr>
        <w:snapToGrid w:val="0"/>
        <w:spacing w:line="300" w:lineRule="auto"/>
        <w:ind w:right="-716" w:rightChars="-341" w:firstLine="420"/>
        <w:rPr>
          <w:bCs/>
          <w:color w:val="000000"/>
          <w:sz w:val="20"/>
          <w:szCs w:val="20"/>
        </w:rPr>
      </w:pPr>
      <w:r>
        <w:rPr>
          <w:rFonts w:hint="eastAsia"/>
          <w:color w:val="000000"/>
          <w:sz w:val="20"/>
          <w:szCs w:val="20"/>
        </w:rPr>
        <w:t xml:space="preserve">第2单元  </w:t>
      </w:r>
      <w:r>
        <w:rPr>
          <w:rFonts w:hint="eastAsia"/>
          <w:bCs/>
          <w:color w:val="000000"/>
          <w:sz w:val="20"/>
          <w:szCs w:val="20"/>
        </w:rPr>
        <w:t xml:space="preserve">跨文化交际 </w:t>
      </w:r>
      <w:r>
        <w:rPr>
          <w:rFonts w:hint="eastAsia"/>
          <w:bCs/>
          <w:color w:val="000000"/>
          <w:sz w:val="20"/>
          <w:szCs w:val="20"/>
        </w:rPr>
        <w:tab/>
      </w:r>
      <w:r>
        <w:rPr>
          <w:rFonts w:hint="eastAsia"/>
          <w:bCs/>
          <w:color w:val="000000"/>
          <w:sz w:val="20"/>
          <w:szCs w:val="20"/>
        </w:rPr>
        <w:t>理论课时数：1.5  实践课时数：0.5</w:t>
      </w:r>
    </w:p>
    <w:p>
      <w:pPr>
        <w:snapToGrid w:val="0"/>
        <w:spacing w:line="300" w:lineRule="auto"/>
        <w:ind w:right="-716" w:rightChars="-341" w:firstLine="1400" w:firstLineChars="700"/>
        <w:rPr>
          <w:bCs/>
          <w:color w:val="000000"/>
          <w:sz w:val="20"/>
          <w:szCs w:val="20"/>
        </w:rPr>
      </w:pPr>
      <w:r>
        <w:rPr>
          <w:color w:val="000000"/>
          <w:kern w:val="0"/>
          <w:sz w:val="20"/>
          <w:szCs w:val="20"/>
          <w:lang w:val="zh-CN"/>
        </w:rPr>
        <w:t>知道</w:t>
      </w:r>
      <w:r>
        <w:rPr>
          <w:rFonts w:hint="eastAsia"/>
          <w:color w:val="000000"/>
          <w:kern w:val="0"/>
          <w:sz w:val="20"/>
          <w:szCs w:val="20"/>
        </w:rPr>
        <w:t>传播和跨文化传播的定义、构成及过程</w:t>
      </w:r>
      <w:r>
        <w:rPr>
          <w:color w:val="000000"/>
          <w:kern w:val="0"/>
          <w:sz w:val="20"/>
          <w:szCs w:val="20"/>
        </w:rPr>
        <w:t>;</w:t>
      </w:r>
      <w:r>
        <w:rPr>
          <w:bCs/>
          <w:color w:val="000000"/>
          <w:sz w:val="20"/>
          <w:szCs w:val="20"/>
        </w:rPr>
        <w:t xml:space="preserve"> </w:t>
      </w:r>
    </w:p>
    <w:p>
      <w:pPr>
        <w:snapToGrid w:val="0"/>
        <w:spacing w:line="300" w:lineRule="auto"/>
        <w:ind w:right="-716" w:rightChars="-341" w:firstLine="1400" w:firstLineChars="700"/>
        <w:rPr>
          <w:bCs/>
          <w:color w:val="000000"/>
          <w:sz w:val="20"/>
          <w:szCs w:val="20"/>
        </w:rPr>
      </w:pPr>
      <w:r>
        <w:rPr>
          <w:color w:val="000000"/>
          <w:sz w:val="20"/>
          <w:szCs w:val="20"/>
        </w:rPr>
        <w:t>理解</w:t>
      </w:r>
      <w:r>
        <w:rPr>
          <w:rFonts w:hint="eastAsia"/>
          <w:color w:val="000000"/>
          <w:sz w:val="20"/>
          <w:szCs w:val="20"/>
        </w:rPr>
        <w:t>传播特点及跨文化多种形式</w:t>
      </w:r>
      <w:r>
        <w:rPr>
          <w:bCs/>
          <w:color w:val="000000"/>
          <w:sz w:val="20"/>
          <w:szCs w:val="20"/>
        </w:rPr>
        <w:t>;</w:t>
      </w:r>
    </w:p>
    <w:p>
      <w:pPr>
        <w:snapToGrid w:val="0"/>
        <w:spacing w:line="300" w:lineRule="auto"/>
        <w:ind w:right="-716" w:rightChars="-341" w:firstLine="1400" w:firstLineChars="700"/>
        <w:rPr>
          <w:bCs/>
          <w:color w:val="000000"/>
          <w:sz w:val="20"/>
          <w:szCs w:val="20"/>
        </w:rPr>
      </w:pPr>
      <w:r>
        <w:rPr>
          <w:rFonts w:hint="eastAsia"/>
          <w:bCs/>
          <w:color w:val="000000"/>
          <w:sz w:val="20"/>
          <w:szCs w:val="20"/>
        </w:rPr>
        <w:t>分析文化与传播及跨文化传播之间的关系；</w:t>
      </w:r>
    </w:p>
    <w:p>
      <w:pPr>
        <w:snapToGrid w:val="0"/>
        <w:spacing w:line="300" w:lineRule="auto"/>
        <w:ind w:right="-716" w:rightChars="-341" w:firstLine="1400" w:firstLineChars="700"/>
        <w:rPr>
          <w:bCs/>
          <w:color w:val="000000"/>
          <w:sz w:val="20"/>
          <w:szCs w:val="20"/>
        </w:rPr>
      </w:pPr>
      <w:r>
        <w:rPr>
          <w:color w:val="000000"/>
          <w:sz w:val="20"/>
          <w:szCs w:val="20"/>
        </w:rPr>
        <w:t>教学难点：</w:t>
      </w:r>
      <w:r>
        <w:rPr>
          <w:rFonts w:hint="eastAsia"/>
          <w:color w:val="000000"/>
          <w:sz w:val="20"/>
          <w:szCs w:val="20"/>
        </w:rPr>
        <w:t>intercultural communication</w:t>
      </w:r>
      <w:r>
        <w:rPr>
          <w:bCs/>
          <w:color w:val="000000"/>
          <w:sz w:val="20"/>
          <w:szCs w:val="20"/>
        </w:rPr>
        <w:t>。</w:t>
      </w:r>
    </w:p>
    <w:p>
      <w:pPr>
        <w:snapToGrid w:val="0"/>
        <w:spacing w:line="300" w:lineRule="auto"/>
        <w:ind w:left="2270" w:leftChars="700" w:right="-716" w:rightChars="-341" w:hanging="800" w:hangingChars="400"/>
        <w:rPr>
          <w:bCs/>
          <w:color w:val="000000"/>
          <w:sz w:val="20"/>
          <w:szCs w:val="20"/>
        </w:rPr>
      </w:pPr>
      <w:r>
        <w:rPr>
          <w:rFonts w:hint="eastAsia"/>
          <w:bCs/>
          <w:color w:val="000000"/>
          <w:sz w:val="20"/>
          <w:szCs w:val="20"/>
        </w:rPr>
        <w:t>思政点：在讲文化与交际的关系时，让学生讨论分析中国人的交际风格背后的中国文化，加深学生对本土文化的认识。</w:t>
      </w:r>
    </w:p>
    <w:p>
      <w:pPr>
        <w:snapToGrid w:val="0"/>
        <w:spacing w:line="300" w:lineRule="auto"/>
        <w:ind w:right="-716" w:rightChars="-341" w:firstLine="400" w:firstLineChars="200"/>
        <w:rPr>
          <w:bCs/>
          <w:color w:val="000000"/>
          <w:sz w:val="20"/>
          <w:szCs w:val="20"/>
        </w:rPr>
      </w:pPr>
      <w:r>
        <w:rPr>
          <w:rFonts w:hint="eastAsia"/>
          <w:bCs/>
          <w:color w:val="000000"/>
          <w:sz w:val="20"/>
          <w:szCs w:val="20"/>
        </w:rPr>
        <w:t>第3单元   文化对认知的影响   理论课时数：1.5  实践课时数：0.5</w:t>
      </w:r>
    </w:p>
    <w:p>
      <w:pPr>
        <w:snapToGrid w:val="0"/>
        <w:spacing w:line="300" w:lineRule="auto"/>
        <w:ind w:left="840" w:leftChars="400" w:right="-716" w:rightChars="-341" w:firstLine="720" w:firstLineChars="360"/>
        <w:rPr>
          <w:bCs/>
          <w:color w:val="000000"/>
          <w:sz w:val="20"/>
          <w:szCs w:val="20"/>
        </w:rPr>
      </w:pPr>
      <w:r>
        <w:rPr>
          <w:rFonts w:hint="eastAsia"/>
          <w:bCs/>
          <w:color w:val="000000"/>
          <w:sz w:val="20"/>
          <w:szCs w:val="20"/>
        </w:rPr>
        <w:t>知道“感觉”与“知觉”的定义；</w:t>
      </w:r>
    </w:p>
    <w:p>
      <w:pPr>
        <w:snapToGrid w:val="0"/>
        <w:spacing w:line="300" w:lineRule="auto"/>
        <w:ind w:left="840" w:leftChars="400" w:right="-716" w:rightChars="-341" w:firstLine="720" w:firstLineChars="360"/>
        <w:rPr>
          <w:bCs/>
          <w:color w:val="000000"/>
          <w:sz w:val="20"/>
          <w:szCs w:val="20"/>
        </w:rPr>
      </w:pPr>
      <w:r>
        <w:rPr>
          <w:rFonts w:hint="eastAsia"/>
          <w:bCs/>
          <w:color w:val="000000"/>
          <w:sz w:val="20"/>
          <w:szCs w:val="20"/>
        </w:rPr>
        <w:t>理解人类认知过程；</w:t>
      </w:r>
    </w:p>
    <w:p>
      <w:pPr>
        <w:snapToGrid w:val="0"/>
        <w:spacing w:line="300" w:lineRule="auto"/>
        <w:ind w:left="840" w:leftChars="400" w:right="-716" w:rightChars="-341" w:firstLine="720" w:firstLineChars="360"/>
        <w:rPr>
          <w:bCs/>
          <w:color w:val="000000"/>
          <w:sz w:val="20"/>
          <w:szCs w:val="20"/>
        </w:rPr>
      </w:pPr>
      <w:r>
        <w:rPr>
          <w:rFonts w:hint="eastAsia"/>
          <w:bCs/>
          <w:color w:val="000000"/>
          <w:sz w:val="20"/>
          <w:szCs w:val="20"/>
        </w:rPr>
        <w:t>分析不同文化在感觉和知觉上的差异；</w:t>
      </w:r>
    </w:p>
    <w:p>
      <w:pPr>
        <w:snapToGrid w:val="0"/>
        <w:spacing w:line="300" w:lineRule="auto"/>
        <w:ind w:left="840" w:leftChars="400" w:right="-716" w:rightChars="-341" w:firstLine="720" w:firstLineChars="360"/>
        <w:rPr>
          <w:bCs/>
          <w:color w:val="000000"/>
          <w:sz w:val="20"/>
          <w:szCs w:val="20"/>
        </w:rPr>
      </w:pPr>
      <w:r>
        <w:rPr>
          <w:rFonts w:hint="eastAsia"/>
          <w:bCs/>
          <w:color w:val="000000"/>
          <w:sz w:val="20"/>
          <w:szCs w:val="20"/>
        </w:rPr>
        <w:t>运用提高认知能力的相关技巧；</w:t>
      </w:r>
    </w:p>
    <w:p>
      <w:pPr>
        <w:snapToGrid w:val="0"/>
        <w:spacing w:line="300" w:lineRule="auto"/>
        <w:ind w:left="840" w:leftChars="400" w:right="-716" w:rightChars="-341" w:firstLine="720" w:firstLineChars="360"/>
        <w:rPr>
          <w:bCs/>
          <w:color w:val="000000"/>
          <w:sz w:val="20"/>
          <w:szCs w:val="20"/>
        </w:rPr>
      </w:pPr>
      <w:r>
        <w:rPr>
          <w:rFonts w:hint="eastAsia"/>
          <w:bCs/>
          <w:color w:val="000000"/>
          <w:sz w:val="20"/>
          <w:szCs w:val="20"/>
        </w:rPr>
        <w:t>教学难点：cross-cultural differences in sensation and perception</w:t>
      </w:r>
    </w:p>
    <w:p>
      <w:pPr>
        <w:snapToGrid w:val="0"/>
        <w:spacing w:line="300" w:lineRule="auto"/>
        <w:ind w:left="2396" w:leftChars="760" w:right="-716" w:rightChars="-341" w:hanging="800" w:hangingChars="400"/>
        <w:rPr>
          <w:bCs/>
          <w:color w:val="000000"/>
          <w:sz w:val="20"/>
          <w:szCs w:val="20"/>
        </w:rPr>
      </w:pPr>
      <w:r>
        <w:rPr>
          <w:rFonts w:hint="eastAsia"/>
          <w:bCs/>
          <w:color w:val="000000"/>
          <w:sz w:val="20"/>
          <w:szCs w:val="20"/>
        </w:rPr>
        <w:t>思政点：让学生讨论不同国家对“狗”和“龙”的认知差异，并分析差异背后的文化根源，从而增进跨文化交流中的相互了解，减少误解和冲突。</w:t>
      </w:r>
      <w:r>
        <w:rPr>
          <w:bCs/>
          <w:color w:val="000000"/>
          <w:sz w:val="20"/>
          <w:szCs w:val="20"/>
        </w:rPr>
        <w:t xml:space="preserve"> </w:t>
      </w:r>
    </w:p>
    <w:p>
      <w:pPr>
        <w:snapToGrid w:val="0"/>
        <w:spacing w:line="300" w:lineRule="auto"/>
        <w:ind w:right="-716" w:rightChars="-341" w:firstLine="500" w:firstLineChars="250"/>
        <w:rPr>
          <w:bCs/>
          <w:color w:val="000000"/>
          <w:sz w:val="20"/>
          <w:szCs w:val="20"/>
        </w:rPr>
      </w:pPr>
      <w:r>
        <w:rPr>
          <w:rFonts w:hint="eastAsia"/>
          <w:bCs/>
          <w:color w:val="000000"/>
          <w:sz w:val="20"/>
          <w:szCs w:val="20"/>
        </w:rPr>
        <w:t>第4单元  跨文化交际障碍    理论课时数：1.5  实践课时数：0.5</w:t>
      </w:r>
    </w:p>
    <w:p>
      <w:pPr>
        <w:snapToGrid w:val="0"/>
        <w:spacing w:line="300" w:lineRule="auto"/>
        <w:ind w:right="-716" w:rightChars="-341"/>
        <w:rPr>
          <w:bCs/>
          <w:color w:val="000000"/>
          <w:sz w:val="20"/>
          <w:szCs w:val="20"/>
        </w:rPr>
      </w:pPr>
      <w:r>
        <w:rPr>
          <w:rFonts w:hint="eastAsia"/>
          <w:bCs/>
          <w:color w:val="000000"/>
          <w:sz w:val="20"/>
          <w:szCs w:val="20"/>
        </w:rPr>
        <w:t xml:space="preserve">               理解跨文化交际中的情感障碍、态度障碍和翻译障碍；</w:t>
      </w:r>
    </w:p>
    <w:p>
      <w:pPr>
        <w:snapToGrid w:val="0"/>
        <w:spacing w:line="300" w:lineRule="auto"/>
        <w:ind w:right="-716" w:rightChars="-341"/>
        <w:rPr>
          <w:bCs/>
          <w:color w:val="000000"/>
          <w:sz w:val="20"/>
          <w:szCs w:val="20"/>
        </w:rPr>
      </w:pPr>
      <w:r>
        <w:rPr>
          <w:rFonts w:hint="eastAsia"/>
          <w:bCs/>
          <w:color w:val="000000"/>
          <w:sz w:val="20"/>
          <w:szCs w:val="20"/>
        </w:rPr>
        <w:t xml:space="preserve">               分析可能导致这些交际障碍的原因；</w:t>
      </w:r>
    </w:p>
    <w:p>
      <w:pPr>
        <w:snapToGrid w:val="0"/>
        <w:spacing w:line="300" w:lineRule="auto"/>
        <w:ind w:right="-716" w:rightChars="-341"/>
        <w:rPr>
          <w:bCs/>
          <w:color w:val="000000"/>
          <w:sz w:val="20"/>
          <w:szCs w:val="20"/>
        </w:rPr>
      </w:pPr>
      <w:r>
        <w:rPr>
          <w:rFonts w:hint="eastAsia"/>
          <w:bCs/>
          <w:color w:val="000000"/>
          <w:sz w:val="20"/>
          <w:szCs w:val="20"/>
        </w:rPr>
        <w:t xml:space="preserve">               运用技巧解决跨文化交际障碍；</w:t>
      </w:r>
    </w:p>
    <w:p>
      <w:pPr>
        <w:snapToGrid w:val="0"/>
        <w:spacing w:line="300" w:lineRule="auto"/>
        <w:ind w:right="-716" w:rightChars="-341"/>
        <w:rPr>
          <w:bCs/>
          <w:color w:val="000000"/>
          <w:sz w:val="20"/>
          <w:szCs w:val="20"/>
        </w:rPr>
      </w:pPr>
      <w:r>
        <w:rPr>
          <w:rFonts w:hint="eastAsia"/>
          <w:bCs/>
          <w:color w:val="000000"/>
          <w:sz w:val="20"/>
          <w:szCs w:val="20"/>
        </w:rPr>
        <w:t xml:space="preserve">               教学难点：reasons for intercultural communication barriers</w:t>
      </w:r>
    </w:p>
    <w:p>
      <w:pPr>
        <w:snapToGrid w:val="0"/>
        <w:spacing w:line="300" w:lineRule="auto"/>
        <w:ind w:left="2400" w:right="-716" w:rightChars="-341" w:hanging="2400" w:hangingChars="1200"/>
        <w:rPr>
          <w:bCs/>
          <w:color w:val="000000"/>
          <w:sz w:val="20"/>
          <w:szCs w:val="20"/>
        </w:rPr>
      </w:pPr>
      <w:r>
        <w:rPr>
          <w:bCs/>
          <w:color w:val="000000"/>
          <w:sz w:val="20"/>
          <w:szCs w:val="20"/>
        </w:rPr>
        <w:t xml:space="preserve">               </w:t>
      </w:r>
      <w:r>
        <w:rPr>
          <w:rFonts w:hint="eastAsia"/>
          <w:bCs/>
          <w:color w:val="000000"/>
          <w:sz w:val="20"/>
          <w:szCs w:val="20"/>
        </w:rPr>
        <w:t>思政点：以新冠疫情中针对亚裔的歧视和暴力现象、美国“黑命贵”运动、B站有关文化冲击的视频等引导学生意识到偏见、刻板印象、种族歧视以及种族优越感等是跨文化交流的主要障碍，在跨文化交际中，应增强文化包容性，避免文化刻板印象。</w:t>
      </w:r>
    </w:p>
    <w:p>
      <w:pPr>
        <w:snapToGrid w:val="0"/>
        <w:spacing w:line="300" w:lineRule="auto"/>
        <w:ind w:right="-716" w:rightChars="-341" w:firstLine="600" w:firstLineChars="300"/>
        <w:rPr>
          <w:bCs/>
          <w:color w:val="000000"/>
          <w:sz w:val="20"/>
          <w:szCs w:val="20"/>
        </w:rPr>
      </w:pPr>
      <w:r>
        <w:rPr>
          <w:rFonts w:hint="eastAsia"/>
          <w:bCs/>
          <w:color w:val="000000"/>
          <w:sz w:val="20"/>
          <w:szCs w:val="20"/>
        </w:rPr>
        <w:t>第5单元 言语跨文化交际    理论课时数：1  实践课时数：1</w:t>
      </w:r>
    </w:p>
    <w:p>
      <w:pPr>
        <w:snapToGrid w:val="0"/>
        <w:spacing w:line="300" w:lineRule="auto"/>
        <w:ind w:right="-716" w:rightChars="-341"/>
        <w:rPr>
          <w:bCs/>
          <w:color w:val="000000"/>
          <w:sz w:val="20"/>
          <w:szCs w:val="20"/>
        </w:rPr>
      </w:pPr>
      <w:r>
        <w:rPr>
          <w:rFonts w:hint="eastAsia"/>
          <w:bCs/>
          <w:color w:val="000000"/>
          <w:sz w:val="20"/>
          <w:szCs w:val="20"/>
        </w:rPr>
        <w:t xml:space="preserve">               知道言语交际的定义及意义；</w:t>
      </w:r>
    </w:p>
    <w:p>
      <w:pPr>
        <w:snapToGrid w:val="0"/>
        <w:spacing w:line="300" w:lineRule="auto"/>
        <w:ind w:right="-716" w:rightChars="-341"/>
        <w:rPr>
          <w:rFonts w:hint="eastAsia"/>
          <w:bCs/>
          <w:color w:val="000000"/>
          <w:sz w:val="20"/>
          <w:szCs w:val="20"/>
        </w:rPr>
      </w:pPr>
      <w:r>
        <w:rPr>
          <w:rFonts w:hint="eastAsia"/>
          <w:bCs/>
          <w:color w:val="000000"/>
          <w:sz w:val="20"/>
          <w:szCs w:val="20"/>
        </w:rPr>
        <w:t xml:space="preserve">               理解语言和文化的关系、文化与言语交际风格的关系；</w:t>
      </w:r>
    </w:p>
    <w:p>
      <w:pPr>
        <w:snapToGrid w:val="0"/>
        <w:spacing w:line="300" w:lineRule="auto"/>
        <w:ind w:right="-716" w:rightChars="-341"/>
        <w:rPr>
          <w:bCs/>
          <w:color w:val="000000"/>
          <w:sz w:val="20"/>
          <w:szCs w:val="20"/>
        </w:rPr>
      </w:pPr>
      <w:r>
        <w:rPr>
          <w:rFonts w:hint="eastAsia"/>
          <w:bCs/>
          <w:color w:val="000000"/>
          <w:sz w:val="20"/>
          <w:szCs w:val="20"/>
        </w:rPr>
        <w:t xml:space="preserve">               教学难点：verbal communication styles</w:t>
      </w:r>
    </w:p>
    <w:p>
      <w:pPr>
        <w:snapToGrid w:val="0"/>
        <w:spacing w:line="300" w:lineRule="auto"/>
        <w:ind w:left="2400" w:right="-716" w:rightChars="-341" w:hanging="2400" w:hangingChars="1200"/>
        <w:rPr>
          <w:bCs/>
          <w:color w:val="000000"/>
          <w:sz w:val="20"/>
          <w:szCs w:val="20"/>
        </w:rPr>
      </w:pPr>
      <w:r>
        <w:rPr>
          <w:bCs/>
          <w:color w:val="000000"/>
          <w:sz w:val="20"/>
          <w:szCs w:val="20"/>
        </w:rPr>
        <w:t xml:space="preserve">               </w:t>
      </w:r>
      <w:r>
        <w:rPr>
          <w:rFonts w:hint="eastAsia"/>
          <w:bCs/>
          <w:color w:val="000000"/>
          <w:sz w:val="20"/>
          <w:szCs w:val="20"/>
        </w:rPr>
        <w:t>思政点：在讲授“言语交际”时，和学生分享疫情期间中国援外物资上的寄语。学生在理解“言语交际”概念的同时领略了中国传统文化的智慧与魅力，培养了同学们的民族自豪感和文化自信；</w:t>
      </w:r>
    </w:p>
    <w:p>
      <w:pPr>
        <w:snapToGrid w:val="0"/>
        <w:spacing w:line="300" w:lineRule="auto"/>
        <w:ind w:right="-716" w:rightChars="-341" w:firstLine="600" w:firstLineChars="300"/>
        <w:rPr>
          <w:bCs/>
          <w:color w:val="000000"/>
          <w:sz w:val="20"/>
          <w:szCs w:val="20"/>
        </w:rPr>
      </w:pPr>
      <w:r>
        <w:rPr>
          <w:rFonts w:hint="eastAsia"/>
          <w:bCs/>
          <w:color w:val="000000"/>
          <w:sz w:val="20"/>
          <w:szCs w:val="20"/>
        </w:rPr>
        <w:t>第6单元  非言语跨文化交际</w:t>
      </w:r>
      <w:r>
        <w:rPr>
          <w:rFonts w:hint="eastAsia"/>
          <w:bCs/>
          <w:color w:val="000000"/>
          <w:sz w:val="20"/>
          <w:szCs w:val="20"/>
        </w:rPr>
        <w:tab/>
      </w:r>
      <w:r>
        <w:rPr>
          <w:rFonts w:hint="eastAsia"/>
          <w:bCs/>
          <w:color w:val="000000"/>
          <w:sz w:val="20"/>
          <w:szCs w:val="20"/>
        </w:rPr>
        <w:t>理论课时数：1  实践课时数：</w:t>
      </w:r>
      <w:r>
        <w:rPr>
          <w:bCs/>
          <w:color w:val="000000"/>
          <w:sz w:val="20"/>
          <w:szCs w:val="20"/>
        </w:rPr>
        <w:t>2</w:t>
      </w:r>
    </w:p>
    <w:p>
      <w:pPr>
        <w:snapToGrid w:val="0"/>
        <w:spacing w:line="300" w:lineRule="auto"/>
        <w:ind w:right="-716" w:rightChars="-341"/>
        <w:rPr>
          <w:bCs/>
          <w:color w:val="000000"/>
          <w:sz w:val="20"/>
          <w:szCs w:val="20"/>
        </w:rPr>
      </w:pPr>
      <w:r>
        <w:rPr>
          <w:rFonts w:hint="eastAsia"/>
          <w:bCs/>
          <w:color w:val="000000"/>
          <w:sz w:val="20"/>
          <w:szCs w:val="20"/>
        </w:rPr>
        <w:t xml:space="preserve">                知道非言语交际的定义、功能及意义；</w:t>
      </w:r>
    </w:p>
    <w:p>
      <w:pPr>
        <w:snapToGrid w:val="0"/>
        <w:spacing w:line="300" w:lineRule="auto"/>
        <w:ind w:right="-716" w:rightChars="-341"/>
        <w:rPr>
          <w:bCs/>
          <w:color w:val="000000"/>
          <w:sz w:val="20"/>
          <w:szCs w:val="20"/>
        </w:rPr>
      </w:pPr>
      <w:r>
        <w:rPr>
          <w:rFonts w:hint="eastAsia"/>
          <w:bCs/>
          <w:color w:val="000000"/>
          <w:sz w:val="20"/>
          <w:szCs w:val="20"/>
        </w:rPr>
        <w:t xml:space="preserve">                理解非言语交际的类型；</w:t>
      </w:r>
    </w:p>
    <w:p>
      <w:pPr>
        <w:snapToGrid w:val="0"/>
        <w:spacing w:line="300" w:lineRule="auto"/>
        <w:ind w:right="-716" w:rightChars="-341"/>
        <w:rPr>
          <w:bCs/>
          <w:color w:val="000000"/>
          <w:sz w:val="20"/>
          <w:szCs w:val="20"/>
        </w:rPr>
      </w:pPr>
      <w:r>
        <w:rPr>
          <w:rFonts w:hint="eastAsia"/>
          <w:bCs/>
          <w:color w:val="000000"/>
          <w:sz w:val="20"/>
          <w:szCs w:val="20"/>
        </w:rPr>
        <w:t xml:space="preserve">                教学难点：non-verbal communication categories</w:t>
      </w:r>
    </w:p>
    <w:p>
      <w:pPr>
        <w:snapToGrid w:val="0"/>
        <w:spacing w:line="300" w:lineRule="auto"/>
        <w:ind w:left="2400" w:right="-716" w:rightChars="-341" w:hanging="2400" w:hangingChars="1200"/>
        <w:rPr>
          <w:bCs/>
          <w:color w:val="000000"/>
          <w:sz w:val="20"/>
          <w:szCs w:val="20"/>
        </w:rPr>
      </w:pPr>
      <w:r>
        <w:rPr>
          <w:bCs/>
          <w:color w:val="000000"/>
          <w:sz w:val="20"/>
          <w:szCs w:val="20"/>
        </w:rPr>
        <w:t xml:space="preserve">                </w:t>
      </w:r>
      <w:r>
        <w:rPr>
          <w:rFonts w:hint="eastAsia"/>
          <w:bCs/>
          <w:color w:val="000000"/>
          <w:sz w:val="20"/>
          <w:szCs w:val="20"/>
        </w:rPr>
        <w:t>思政点：以一些常见的手势语为例，比较其在不同文化中的含义，鼓励学生多去了解文化差异，避免使用不当手势造成误解和冲突。</w:t>
      </w:r>
    </w:p>
    <w:p>
      <w:pPr>
        <w:snapToGrid w:val="0"/>
        <w:spacing w:line="300" w:lineRule="auto"/>
        <w:ind w:right="-716" w:rightChars="-341" w:firstLine="600" w:firstLineChars="300"/>
        <w:rPr>
          <w:bCs/>
          <w:color w:val="000000"/>
          <w:sz w:val="20"/>
          <w:szCs w:val="20"/>
        </w:rPr>
      </w:pPr>
      <w:r>
        <w:rPr>
          <w:rFonts w:hint="eastAsia"/>
          <w:bCs/>
          <w:color w:val="000000"/>
          <w:sz w:val="20"/>
          <w:szCs w:val="20"/>
        </w:rPr>
        <w:t>第7单元  文化模式（I）</w:t>
      </w:r>
      <w:r>
        <w:rPr>
          <w:rFonts w:hint="eastAsia"/>
          <w:bCs/>
          <w:color w:val="000000"/>
          <w:sz w:val="20"/>
          <w:szCs w:val="20"/>
        </w:rPr>
        <w:tab/>
      </w:r>
      <w:r>
        <w:rPr>
          <w:rFonts w:hint="eastAsia"/>
          <w:bCs/>
          <w:color w:val="000000"/>
          <w:sz w:val="20"/>
          <w:szCs w:val="20"/>
        </w:rPr>
        <w:t>理论课时数：1  实践课时数：</w:t>
      </w:r>
      <w:r>
        <w:rPr>
          <w:bCs/>
          <w:color w:val="000000"/>
          <w:sz w:val="20"/>
          <w:szCs w:val="20"/>
        </w:rPr>
        <w:t>3</w:t>
      </w:r>
    </w:p>
    <w:p>
      <w:pPr>
        <w:snapToGrid w:val="0"/>
        <w:spacing w:line="300" w:lineRule="auto"/>
        <w:ind w:right="-716" w:rightChars="-341"/>
        <w:rPr>
          <w:bCs/>
          <w:color w:val="000000"/>
          <w:sz w:val="20"/>
          <w:szCs w:val="20"/>
        </w:rPr>
      </w:pPr>
      <w:r>
        <w:rPr>
          <w:rFonts w:hint="eastAsia"/>
          <w:bCs/>
          <w:color w:val="000000"/>
          <w:sz w:val="20"/>
          <w:szCs w:val="20"/>
        </w:rPr>
        <w:t xml:space="preserve">                知道文化模式的定义、组成成分及重要性；</w:t>
      </w:r>
    </w:p>
    <w:p>
      <w:pPr>
        <w:snapToGrid w:val="0"/>
        <w:spacing w:line="300" w:lineRule="auto"/>
        <w:ind w:right="-716" w:rightChars="-341"/>
        <w:rPr>
          <w:bCs/>
          <w:color w:val="000000"/>
          <w:sz w:val="20"/>
          <w:szCs w:val="20"/>
        </w:rPr>
      </w:pPr>
      <w:r>
        <w:rPr>
          <w:rFonts w:hint="eastAsia"/>
          <w:bCs/>
          <w:color w:val="000000"/>
          <w:sz w:val="20"/>
          <w:szCs w:val="20"/>
        </w:rPr>
        <w:t xml:space="preserve">                理解高语境-低语境文化模式；</w:t>
      </w:r>
    </w:p>
    <w:p>
      <w:pPr>
        <w:snapToGrid w:val="0"/>
        <w:spacing w:line="300" w:lineRule="auto"/>
        <w:ind w:right="-716" w:rightChars="-341"/>
        <w:rPr>
          <w:bCs/>
          <w:color w:val="000000"/>
          <w:sz w:val="20"/>
          <w:szCs w:val="20"/>
        </w:rPr>
      </w:pPr>
      <w:r>
        <w:rPr>
          <w:rFonts w:hint="eastAsia"/>
          <w:bCs/>
          <w:color w:val="000000"/>
          <w:sz w:val="20"/>
          <w:szCs w:val="20"/>
        </w:rPr>
        <w:t xml:space="preserve">                运用高语境-低语境文化模式进行案例分析；</w:t>
      </w:r>
    </w:p>
    <w:p>
      <w:pPr>
        <w:snapToGrid w:val="0"/>
        <w:spacing w:line="300" w:lineRule="auto"/>
        <w:ind w:right="-716" w:rightChars="-341"/>
        <w:rPr>
          <w:bCs/>
          <w:color w:val="000000"/>
          <w:sz w:val="20"/>
          <w:szCs w:val="20"/>
        </w:rPr>
      </w:pPr>
      <w:r>
        <w:rPr>
          <w:rFonts w:hint="eastAsia"/>
          <w:bCs/>
          <w:color w:val="000000"/>
          <w:sz w:val="20"/>
          <w:szCs w:val="20"/>
        </w:rPr>
        <w:t xml:space="preserve">                教学难点：Hall</w:t>
      </w:r>
      <w:r>
        <w:rPr>
          <w:bCs/>
          <w:color w:val="000000"/>
          <w:sz w:val="20"/>
          <w:szCs w:val="20"/>
        </w:rPr>
        <w:t>’</w:t>
      </w:r>
      <w:r>
        <w:rPr>
          <w:rFonts w:hint="eastAsia"/>
          <w:bCs/>
          <w:color w:val="000000"/>
          <w:sz w:val="20"/>
          <w:szCs w:val="20"/>
        </w:rPr>
        <w:t xml:space="preserve">s context-culture theory </w:t>
      </w:r>
    </w:p>
    <w:p>
      <w:pPr>
        <w:snapToGrid w:val="0"/>
        <w:spacing w:line="300" w:lineRule="auto"/>
        <w:ind w:left="2400" w:right="-716" w:rightChars="-341" w:hanging="2400" w:hangingChars="1200"/>
        <w:rPr>
          <w:bCs/>
          <w:color w:val="000000"/>
          <w:sz w:val="20"/>
          <w:szCs w:val="20"/>
        </w:rPr>
      </w:pPr>
      <w:r>
        <w:rPr>
          <w:bCs/>
          <w:color w:val="000000"/>
          <w:sz w:val="20"/>
          <w:szCs w:val="20"/>
        </w:rPr>
        <w:t xml:space="preserve">                </w:t>
      </w:r>
      <w:r>
        <w:rPr>
          <w:rFonts w:hint="eastAsia"/>
          <w:bCs/>
          <w:color w:val="000000"/>
          <w:sz w:val="20"/>
          <w:szCs w:val="20"/>
        </w:rPr>
        <w:t>思政点：在讲解“文化模式的四要素之一——价值观”时，让学生回答社会主义核心价值观的基本内容并翻译成英文，教导学生不仅要把这些价值观内化于心，更要外化于行，做到知行合一。</w:t>
      </w:r>
    </w:p>
    <w:p>
      <w:pPr>
        <w:snapToGrid w:val="0"/>
        <w:spacing w:line="300" w:lineRule="auto"/>
        <w:ind w:right="-716" w:rightChars="-341" w:firstLine="600" w:firstLineChars="300"/>
        <w:rPr>
          <w:bCs/>
          <w:color w:val="000000"/>
          <w:sz w:val="20"/>
          <w:szCs w:val="20"/>
        </w:rPr>
      </w:pPr>
      <w:r>
        <w:rPr>
          <w:rFonts w:hint="eastAsia"/>
          <w:bCs/>
          <w:color w:val="000000"/>
          <w:sz w:val="20"/>
          <w:szCs w:val="20"/>
        </w:rPr>
        <w:t>第8单元  文化模式 （II）</w:t>
      </w:r>
      <w:r>
        <w:rPr>
          <w:rFonts w:hint="eastAsia"/>
          <w:bCs/>
          <w:color w:val="000000"/>
          <w:sz w:val="20"/>
          <w:szCs w:val="20"/>
        </w:rPr>
        <w:tab/>
      </w:r>
      <w:r>
        <w:rPr>
          <w:rFonts w:hint="eastAsia"/>
          <w:bCs/>
          <w:color w:val="000000"/>
          <w:sz w:val="20"/>
          <w:szCs w:val="20"/>
        </w:rPr>
        <w:t>理论课时数：1  实践课时数：3</w:t>
      </w:r>
    </w:p>
    <w:p>
      <w:pPr>
        <w:snapToGrid w:val="0"/>
        <w:spacing w:line="300" w:lineRule="auto"/>
        <w:ind w:right="-716" w:rightChars="-341" w:firstLine="1600" w:firstLineChars="800"/>
        <w:rPr>
          <w:bCs/>
          <w:color w:val="000000"/>
          <w:sz w:val="20"/>
          <w:szCs w:val="20"/>
        </w:rPr>
      </w:pPr>
      <w:r>
        <w:rPr>
          <w:rFonts w:hint="eastAsia"/>
          <w:bCs/>
          <w:color w:val="000000"/>
          <w:sz w:val="20"/>
          <w:szCs w:val="20"/>
        </w:rPr>
        <w:t>理解Kluckhohn&amp;Strodtbeck价值取向理论；</w:t>
      </w:r>
    </w:p>
    <w:p>
      <w:pPr>
        <w:snapToGrid w:val="0"/>
        <w:spacing w:line="300" w:lineRule="auto"/>
        <w:ind w:right="-716" w:rightChars="-341"/>
        <w:rPr>
          <w:bCs/>
          <w:color w:val="000000"/>
          <w:sz w:val="20"/>
          <w:szCs w:val="20"/>
        </w:rPr>
      </w:pPr>
      <w:r>
        <w:rPr>
          <w:rFonts w:hint="eastAsia"/>
          <w:bCs/>
          <w:color w:val="000000"/>
          <w:sz w:val="20"/>
          <w:szCs w:val="20"/>
        </w:rPr>
        <w:t xml:space="preserve">                运用Kluckhohn&amp;Strodtbeck价值取向理论进行案例分析；</w:t>
      </w:r>
    </w:p>
    <w:p>
      <w:pPr>
        <w:snapToGrid w:val="0"/>
        <w:spacing w:line="300" w:lineRule="auto"/>
        <w:ind w:right="-716" w:rightChars="-341"/>
        <w:rPr>
          <w:bCs/>
          <w:color w:val="000000"/>
          <w:sz w:val="20"/>
          <w:szCs w:val="20"/>
        </w:rPr>
      </w:pPr>
      <w:r>
        <w:rPr>
          <w:rFonts w:hint="eastAsia"/>
          <w:bCs/>
          <w:color w:val="000000"/>
          <w:sz w:val="20"/>
          <w:szCs w:val="20"/>
        </w:rPr>
        <w:t xml:space="preserve">                教学难点： Kluckhohn&amp;Strodtbeck value orientation</w:t>
      </w:r>
    </w:p>
    <w:p>
      <w:pPr>
        <w:snapToGrid w:val="0"/>
        <w:spacing w:line="300" w:lineRule="auto"/>
        <w:ind w:left="2400" w:right="-716" w:rightChars="-341" w:hanging="2400" w:hangingChars="1200"/>
        <w:rPr>
          <w:bCs/>
          <w:color w:val="000000"/>
          <w:sz w:val="20"/>
          <w:szCs w:val="20"/>
        </w:rPr>
      </w:pPr>
      <w:r>
        <w:rPr>
          <w:bCs/>
          <w:color w:val="000000"/>
          <w:sz w:val="20"/>
          <w:szCs w:val="20"/>
        </w:rPr>
        <w:t xml:space="preserve">                </w:t>
      </w:r>
      <w:r>
        <w:rPr>
          <w:rFonts w:hint="eastAsia"/>
          <w:bCs/>
          <w:color w:val="000000"/>
          <w:sz w:val="20"/>
          <w:szCs w:val="20"/>
        </w:rPr>
        <w:t>思政点：以中英文谚语为例，让学生分析其中蕴含的价值观，了解中西方价值观的异同之处。</w:t>
      </w:r>
    </w:p>
    <w:p>
      <w:pPr>
        <w:snapToGrid w:val="0"/>
        <w:spacing w:line="300" w:lineRule="auto"/>
        <w:ind w:left="420" w:leftChars="200" w:right="-716" w:rightChars="-341" w:firstLine="200" w:firstLineChars="100"/>
        <w:rPr>
          <w:bCs/>
          <w:color w:val="000000"/>
          <w:sz w:val="20"/>
          <w:szCs w:val="20"/>
        </w:rPr>
      </w:pPr>
      <w:r>
        <w:rPr>
          <w:rFonts w:hint="eastAsia"/>
          <w:bCs/>
          <w:color w:val="000000"/>
          <w:sz w:val="20"/>
          <w:szCs w:val="20"/>
        </w:rPr>
        <w:t>第9单元 文化模式 （III）</w:t>
      </w:r>
      <w:r>
        <w:rPr>
          <w:rFonts w:hint="eastAsia"/>
          <w:bCs/>
          <w:color w:val="000000"/>
          <w:sz w:val="20"/>
          <w:szCs w:val="20"/>
        </w:rPr>
        <w:tab/>
      </w:r>
      <w:r>
        <w:rPr>
          <w:rFonts w:hint="eastAsia"/>
          <w:bCs/>
          <w:color w:val="000000"/>
          <w:sz w:val="20"/>
          <w:szCs w:val="20"/>
        </w:rPr>
        <w:t>理论课时数：1  实践课时数：3</w:t>
      </w:r>
    </w:p>
    <w:p>
      <w:pPr>
        <w:snapToGrid w:val="0"/>
        <w:spacing w:line="300" w:lineRule="auto"/>
        <w:ind w:left="420" w:leftChars="200" w:right="-716" w:rightChars="-341" w:firstLine="1200" w:firstLineChars="600"/>
        <w:rPr>
          <w:bCs/>
          <w:color w:val="000000"/>
          <w:sz w:val="20"/>
          <w:szCs w:val="20"/>
        </w:rPr>
      </w:pPr>
      <w:r>
        <w:rPr>
          <w:rFonts w:hint="eastAsia"/>
          <w:bCs/>
          <w:color w:val="000000"/>
          <w:sz w:val="20"/>
          <w:szCs w:val="20"/>
        </w:rPr>
        <w:t>理解Hofstede 文化维度理论；</w:t>
      </w:r>
    </w:p>
    <w:p>
      <w:pPr>
        <w:snapToGrid w:val="0"/>
        <w:spacing w:line="300" w:lineRule="auto"/>
        <w:ind w:right="-716" w:rightChars="-341"/>
        <w:rPr>
          <w:bCs/>
          <w:color w:val="000000"/>
          <w:sz w:val="20"/>
          <w:szCs w:val="20"/>
        </w:rPr>
      </w:pPr>
      <w:r>
        <w:rPr>
          <w:rFonts w:hint="eastAsia"/>
          <w:bCs/>
          <w:color w:val="000000"/>
          <w:sz w:val="20"/>
          <w:szCs w:val="20"/>
        </w:rPr>
        <w:t xml:space="preserve">                运用Hofstede 文化维度理论进行案例分析；</w:t>
      </w:r>
    </w:p>
    <w:p>
      <w:pPr>
        <w:snapToGrid w:val="0"/>
        <w:spacing w:line="300" w:lineRule="auto"/>
        <w:ind w:right="-716" w:rightChars="-341"/>
        <w:rPr>
          <w:bCs/>
          <w:color w:val="000000"/>
          <w:sz w:val="20"/>
          <w:szCs w:val="20"/>
        </w:rPr>
      </w:pPr>
      <w:r>
        <w:rPr>
          <w:rFonts w:hint="eastAsia"/>
          <w:bCs/>
          <w:color w:val="000000"/>
          <w:sz w:val="20"/>
          <w:szCs w:val="20"/>
        </w:rPr>
        <w:t xml:space="preserve">                教学难点：Hofstede</w:t>
      </w:r>
      <w:r>
        <w:rPr>
          <w:bCs/>
          <w:color w:val="000000"/>
          <w:sz w:val="20"/>
          <w:szCs w:val="20"/>
        </w:rPr>
        <w:t>’</w:t>
      </w:r>
      <w:r>
        <w:rPr>
          <w:rFonts w:hint="eastAsia"/>
          <w:bCs/>
          <w:color w:val="000000"/>
          <w:sz w:val="20"/>
          <w:szCs w:val="20"/>
        </w:rPr>
        <w:t>s dimensions of cultural variability</w:t>
      </w:r>
    </w:p>
    <w:p>
      <w:pPr>
        <w:snapToGrid w:val="0"/>
        <w:spacing w:line="300" w:lineRule="auto"/>
        <w:ind w:left="1600" w:right="-716" w:rightChars="-341" w:hanging="1600" w:hangingChars="800"/>
        <w:rPr>
          <w:bCs/>
          <w:color w:val="000000"/>
          <w:sz w:val="20"/>
          <w:szCs w:val="20"/>
        </w:rPr>
      </w:pPr>
      <w:r>
        <w:rPr>
          <w:bCs/>
          <w:color w:val="000000"/>
          <w:sz w:val="20"/>
          <w:szCs w:val="20"/>
        </w:rPr>
        <w:t xml:space="preserve">                </w:t>
      </w:r>
      <w:r>
        <w:rPr>
          <w:rFonts w:hint="eastAsia"/>
          <w:bCs/>
          <w:color w:val="000000"/>
          <w:sz w:val="20"/>
          <w:szCs w:val="20"/>
        </w:rPr>
        <w:t>思政点：以中西方应对新冠疫情的不同表现为例，带领学生把西方个人主义和中国的集体主义价值观进行对比，帮助学生建立起对社会主义制度、对中华文化的信心。</w:t>
      </w:r>
    </w:p>
    <w:p>
      <w:pPr>
        <w:snapToGrid w:val="0"/>
        <w:spacing w:line="300" w:lineRule="auto"/>
        <w:ind w:right="-716" w:rightChars="-341" w:firstLine="600" w:firstLineChars="300"/>
        <w:rPr>
          <w:bCs/>
          <w:color w:val="000000"/>
          <w:sz w:val="20"/>
          <w:szCs w:val="20"/>
        </w:rPr>
      </w:pPr>
      <w:r>
        <w:rPr>
          <w:rFonts w:hint="eastAsia"/>
          <w:bCs/>
          <w:color w:val="000000"/>
          <w:sz w:val="20"/>
          <w:szCs w:val="20"/>
        </w:rPr>
        <w:t>第10单元 文化对语境的影响</w:t>
      </w:r>
      <w:r>
        <w:rPr>
          <w:rFonts w:hint="eastAsia"/>
          <w:bCs/>
          <w:color w:val="000000"/>
          <w:sz w:val="20"/>
          <w:szCs w:val="20"/>
        </w:rPr>
        <w:tab/>
      </w:r>
      <w:r>
        <w:rPr>
          <w:rFonts w:hint="eastAsia"/>
          <w:bCs/>
          <w:color w:val="000000"/>
          <w:sz w:val="20"/>
          <w:szCs w:val="20"/>
        </w:rPr>
        <w:t>理论课时数：1  实践课时数：</w:t>
      </w:r>
      <w:r>
        <w:rPr>
          <w:bCs/>
          <w:color w:val="000000"/>
          <w:sz w:val="20"/>
          <w:szCs w:val="20"/>
        </w:rPr>
        <w:t>1</w:t>
      </w:r>
    </w:p>
    <w:p>
      <w:pPr>
        <w:snapToGrid w:val="0"/>
        <w:spacing w:line="300" w:lineRule="auto"/>
        <w:ind w:right="-716" w:rightChars="-341"/>
        <w:rPr>
          <w:bCs/>
          <w:color w:val="000000"/>
          <w:sz w:val="20"/>
          <w:szCs w:val="20"/>
        </w:rPr>
      </w:pPr>
      <w:r>
        <w:rPr>
          <w:rFonts w:hint="eastAsia"/>
          <w:bCs/>
          <w:color w:val="000000"/>
          <w:sz w:val="20"/>
          <w:szCs w:val="20"/>
        </w:rPr>
        <w:t xml:space="preserve">                理解语境与文化的关系；</w:t>
      </w:r>
    </w:p>
    <w:p>
      <w:pPr>
        <w:snapToGrid w:val="0"/>
        <w:spacing w:line="300" w:lineRule="auto"/>
        <w:ind w:right="-716" w:rightChars="-341"/>
        <w:rPr>
          <w:bCs/>
          <w:color w:val="000000"/>
          <w:sz w:val="20"/>
          <w:szCs w:val="20"/>
        </w:rPr>
      </w:pPr>
      <w:r>
        <w:rPr>
          <w:rFonts w:hint="eastAsia"/>
          <w:bCs/>
          <w:color w:val="000000"/>
          <w:sz w:val="20"/>
          <w:szCs w:val="20"/>
        </w:rPr>
        <w:t xml:space="preserve">                分析不同文化中商务语境和教育语境中的行为模式和观念态度等方面的异同；</w:t>
      </w:r>
    </w:p>
    <w:p>
      <w:pPr>
        <w:snapToGrid w:val="0"/>
        <w:spacing w:line="300" w:lineRule="auto"/>
        <w:ind w:right="-716" w:rightChars="-341"/>
        <w:rPr>
          <w:bCs/>
          <w:color w:val="000000"/>
          <w:sz w:val="20"/>
          <w:szCs w:val="20"/>
        </w:rPr>
      </w:pPr>
      <w:r>
        <w:rPr>
          <w:rFonts w:hint="eastAsia"/>
          <w:bCs/>
          <w:color w:val="000000"/>
          <w:sz w:val="20"/>
          <w:szCs w:val="20"/>
        </w:rPr>
        <w:t xml:space="preserve">                教学难点：cultural impacts on context</w:t>
      </w:r>
    </w:p>
    <w:p>
      <w:pPr>
        <w:snapToGrid w:val="0"/>
        <w:spacing w:line="300" w:lineRule="auto"/>
        <w:ind w:left="2400" w:right="-716" w:rightChars="-341" w:hanging="2400" w:hangingChars="1200"/>
        <w:rPr>
          <w:bCs/>
          <w:color w:val="000000"/>
          <w:sz w:val="20"/>
          <w:szCs w:val="20"/>
        </w:rPr>
      </w:pPr>
      <w:r>
        <w:rPr>
          <w:rFonts w:hint="eastAsia"/>
          <w:bCs/>
          <w:color w:val="000000"/>
          <w:sz w:val="20"/>
          <w:szCs w:val="20"/>
        </w:rPr>
        <w:t xml:space="preserve"> </w:t>
      </w:r>
      <w:r>
        <w:rPr>
          <w:bCs/>
          <w:color w:val="000000"/>
          <w:sz w:val="20"/>
          <w:szCs w:val="20"/>
        </w:rPr>
        <w:t xml:space="preserve">               </w:t>
      </w:r>
      <w:r>
        <w:rPr>
          <w:rFonts w:hint="eastAsia"/>
          <w:bCs/>
          <w:color w:val="000000"/>
          <w:sz w:val="20"/>
          <w:szCs w:val="20"/>
        </w:rPr>
        <w:t>思政点：在讲到文化对商务语境的影响时，结合学生的专业方向，引导其讨论中西方商务礼仪的差异及文化根源，以便在将来的涉外工作中实现有效的交流与合作。</w:t>
      </w:r>
    </w:p>
    <w:p>
      <w:pPr>
        <w:snapToGrid w:val="0"/>
        <w:spacing w:line="300" w:lineRule="auto"/>
        <w:ind w:right="-716" w:rightChars="-341" w:firstLine="600" w:firstLineChars="300"/>
        <w:rPr>
          <w:bCs/>
          <w:color w:val="000000"/>
          <w:sz w:val="20"/>
          <w:szCs w:val="20"/>
        </w:rPr>
      </w:pPr>
      <w:r>
        <w:rPr>
          <w:rFonts w:hint="eastAsia"/>
          <w:bCs/>
          <w:color w:val="000000"/>
          <w:sz w:val="20"/>
          <w:szCs w:val="20"/>
        </w:rPr>
        <w:t>第11单元 跨文化适应 理论课时数：1  实践课时数：</w:t>
      </w:r>
      <w:r>
        <w:rPr>
          <w:bCs/>
          <w:color w:val="000000"/>
          <w:sz w:val="20"/>
          <w:szCs w:val="20"/>
        </w:rPr>
        <w:t>2</w:t>
      </w:r>
    </w:p>
    <w:p>
      <w:pPr>
        <w:snapToGrid w:val="0"/>
        <w:spacing w:line="300" w:lineRule="auto"/>
        <w:ind w:right="-716" w:rightChars="-341"/>
        <w:rPr>
          <w:bCs/>
          <w:color w:val="000000"/>
          <w:sz w:val="20"/>
          <w:szCs w:val="20"/>
        </w:rPr>
      </w:pPr>
      <w:r>
        <w:rPr>
          <w:rFonts w:hint="eastAsia"/>
          <w:bCs/>
          <w:color w:val="000000"/>
          <w:sz w:val="20"/>
          <w:szCs w:val="20"/>
        </w:rPr>
        <w:t xml:space="preserve">                分析文化冲击案例；</w:t>
      </w:r>
    </w:p>
    <w:p>
      <w:pPr>
        <w:snapToGrid w:val="0"/>
        <w:spacing w:line="300" w:lineRule="auto"/>
        <w:ind w:right="-716" w:rightChars="-341"/>
        <w:rPr>
          <w:bCs/>
          <w:color w:val="000000"/>
          <w:sz w:val="20"/>
          <w:szCs w:val="20"/>
        </w:rPr>
      </w:pPr>
      <w:r>
        <w:rPr>
          <w:rFonts w:hint="eastAsia"/>
          <w:bCs/>
          <w:color w:val="000000"/>
          <w:sz w:val="20"/>
          <w:szCs w:val="20"/>
        </w:rPr>
        <w:t xml:space="preserve">                运用策略克服文化冲击和促进文化适应；</w:t>
      </w:r>
    </w:p>
    <w:p>
      <w:pPr>
        <w:snapToGrid w:val="0"/>
        <w:spacing w:line="300" w:lineRule="auto"/>
        <w:ind w:right="-716" w:rightChars="-341"/>
        <w:rPr>
          <w:bCs/>
          <w:color w:val="000000"/>
          <w:sz w:val="20"/>
          <w:szCs w:val="20"/>
        </w:rPr>
      </w:pPr>
      <w:r>
        <w:rPr>
          <w:rFonts w:hint="eastAsia"/>
          <w:bCs/>
          <w:color w:val="000000"/>
          <w:sz w:val="20"/>
          <w:szCs w:val="20"/>
        </w:rPr>
        <w:t xml:space="preserve">                评价各种策略的效果；</w:t>
      </w:r>
    </w:p>
    <w:p>
      <w:pPr>
        <w:snapToGrid w:val="0"/>
        <w:spacing w:line="300" w:lineRule="auto"/>
        <w:ind w:right="-716" w:rightChars="-341"/>
        <w:rPr>
          <w:bCs/>
          <w:color w:val="000000"/>
          <w:sz w:val="20"/>
          <w:szCs w:val="20"/>
        </w:rPr>
      </w:pPr>
      <w:r>
        <w:rPr>
          <w:rFonts w:hint="eastAsia"/>
          <w:bCs/>
          <w:color w:val="000000"/>
          <w:sz w:val="20"/>
          <w:szCs w:val="20"/>
        </w:rPr>
        <w:t xml:space="preserve">                教学难点：cultural adaptation tactics</w:t>
      </w:r>
    </w:p>
    <w:p>
      <w:pPr>
        <w:snapToGrid w:val="0"/>
        <w:spacing w:line="300" w:lineRule="auto"/>
        <w:ind w:left="2400" w:right="-716" w:rightChars="-341" w:hanging="2400" w:hangingChars="1200"/>
        <w:rPr>
          <w:bCs/>
          <w:color w:val="000000"/>
          <w:sz w:val="24"/>
          <w:szCs w:val="24"/>
        </w:rPr>
      </w:pPr>
      <w:r>
        <w:rPr>
          <w:bCs/>
          <w:color w:val="000000"/>
          <w:sz w:val="20"/>
          <w:szCs w:val="20"/>
        </w:rPr>
        <w:t xml:space="preserve">                </w:t>
      </w:r>
      <w:r>
        <w:rPr>
          <w:rFonts w:hint="eastAsia"/>
          <w:bCs/>
          <w:color w:val="000000"/>
          <w:sz w:val="20"/>
          <w:szCs w:val="20"/>
        </w:rPr>
        <w:t>思政点：以出国留学为例，分析跨文化适应的阶段，让有意向出国留学的学生在心理上做好准备，以便日后出国留学能尽快适应新文化。</w:t>
      </w:r>
    </w:p>
    <w:p>
      <w:pPr>
        <w:snapToGrid w:val="0"/>
        <w:spacing w:line="300" w:lineRule="auto"/>
        <w:ind w:right="-716" w:rightChars="-341" w:firstLine="600" w:firstLineChars="300"/>
        <w:rPr>
          <w:bCs/>
          <w:color w:val="000000"/>
          <w:sz w:val="20"/>
          <w:szCs w:val="20"/>
        </w:rPr>
      </w:pPr>
      <w:r>
        <w:rPr>
          <w:rFonts w:hint="eastAsia"/>
          <w:bCs/>
          <w:color w:val="000000"/>
          <w:sz w:val="20"/>
          <w:szCs w:val="20"/>
        </w:rPr>
        <w:t>第12单元 跨文化交际能力 理论课时数：1  实践课时数：1</w:t>
      </w:r>
    </w:p>
    <w:p>
      <w:pPr>
        <w:snapToGrid w:val="0"/>
        <w:spacing w:line="300" w:lineRule="auto"/>
        <w:ind w:right="-716" w:rightChars="-341"/>
        <w:rPr>
          <w:bCs/>
          <w:color w:val="000000"/>
          <w:sz w:val="20"/>
          <w:szCs w:val="20"/>
        </w:rPr>
      </w:pPr>
      <w:r>
        <w:rPr>
          <w:rFonts w:hint="eastAsia"/>
          <w:bCs/>
          <w:color w:val="000000"/>
          <w:sz w:val="20"/>
          <w:szCs w:val="20"/>
        </w:rPr>
        <w:t xml:space="preserve">                分析跨文化能力的多个要素和四大维度；</w:t>
      </w:r>
    </w:p>
    <w:p>
      <w:pPr>
        <w:snapToGrid w:val="0"/>
        <w:spacing w:line="300" w:lineRule="auto"/>
        <w:ind w:right="-716" w:rightChars="-341"/>
        <w:rPr>
          <w:bCs/>
          <w:color w:val="000000"/>
          <w:sz w:val="20"/>
          <w:szCs w:val="20"/>
        </w:rPr>
      </w:pPr>
      <w:r>
        <w:rPr>
          <w:rFonts w:hint="eastAsia"/>
          <w:bCs/>
          <w:color w:val="000000"/>
          <w:sz w:val="20"/>
          <w:szCs w:val="20"/>
        </w:rPr>
        <w:t xml:space="preserve">                运用策略发展提高跨文化交际能力；</w:t>
      </w:r>
    </w:p>
    <w:p>
      <w:pPr>
        <w:snapToGrid w:val="0"/>
        <w:spacing w:line="300" w:lineRule="auto"/>
        <w:ind w:right="-716" w:rightChars="-341"/>
        <w:rPr>
          <w:bCs/>
          <w:color w:val="000000"/>
          <w:sz w:val="20"/>
          <w:szCs w:val="20"/>
        </w:rPr>
      </w:pPr>
      <w:r>
        <w:rPr>
          <w:rFonts w:hint="eastAsia"/>
          <w:bCs/>
          <w:color w:val="000000"/>
          <w:sz w:val="20"/>
          <w:szCs w:val="20"/>
        </w:rPr>
        <w:t xml:space="preserve">                评价各种策略的效果；</w:t>
      </w:r>
    </w:p>
    <w:p>
      <w:pPr>
        <w:snapToGrid w:val="0"/>
        <w:spacing w:line="300" w:lineRule="auto"/>
        <w:ind w:right="-716" w:rightChars="-341"/>
        <w:rPr>
          <w:bCs/>
          <w:color w:val="000000"/>
          <w:sz w:val="20"/>
          <w:szCs w:val="20"/>
        </w:rPr>
      </w:pPr>
      <w:r>
        <w:rPr>
          <w:rFonts w:hint="eastAsia"/>
          <w:bCs/>
          <w:color w:val="000000"/>
          <w:sz w:val="20"/>
          <w:szCs w:val="20"/>
        </w:rPr>
        <w:t xml:space="preserve">                教学难点：intercultural communication competence</w:t>
      </w:r>
    </w:p>
    <w:p>
      <w:pPr>
        <w:snapToGrid w:val="0"/>
        <w:spacing w:line="300" w:lineRule="auto"/>
        <w:ind w:left="2400" w:right="-716" w:rightChars="-341" w:hanging="2400" w:hangingChars="1200"/>
        <w:rPr>
          <w:rFonts w:ascii="宋体" w:hAnsi="宋体"/>
          <w:sz w:val="20"/>
          <w:szCs w:val="20"/>
        </w:rPr>
      </w:pPr>
      <w:r>
        <w:rPr>
          <w:bCs/>
          <w:color w:val="000000"/>
          <w:sz w:val="20"/>
          <w:szCs w:val="20"/>
        </w:rPr>
        <w:t xml:space="preserve">                </w:t>
      </w:r>
      <w:r>
        <w:rPr>
          <w:rFonts w:hint="eastAsia"/>
          <w:bCs/>
          <w:color w:val="000000"/>
          <w:sz w:val="20"/>
          <w:szCs w:val="20"/>
        </w:rPr>
        <w:t>思政点：从经济、科技、人口等角度分析对跨文化能力培养的迫切需要，介绍跨文化能力的要素和维度，列举提高跨文化能力的策略与技巧，帮助学生提高跨文化交际能力，鼓励其勇于担当起中外文化交流的使者责任。</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9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54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40" w:type="dxa"/>
            <w:vMerge w:val="restart"/>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案例分析（1）</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利用霍尔的文化理论对对跨文化交际案例进行分析讨论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综合型</w:t>
            </w:r>
          </w:p>
        </w:tc>
        <w:tc>
          <w:tcPr>
            <w:tcW w:w="1544" w:type="dxa"/>
            <w:vMerge w:val="restart"/>
            <w:tcBorders>
              <w:left w:val="single" w:color="auto" w:sz="4" w:space="0"/>
              <w:right w:val="single" w:color="auto" w:sz="4" w:space="0"/>
            </w:tcBorders>
            <w:shd w:val="clear" w:color="auto" w:fill="auto"/>
            <w:vAlign w:val="center"/>
          </w:tcPr>
          <w:p>
            <w:pPr>
              <w:snapToGrid w:val="0"/>
              <w:spacing w:line="288" w:lineRule="auto"/>
              <w:rPr>
                <w:rFonts w:ascii="宋体"/>
                <w:sz w:val="18"/>
                <w:szCs w:val="18"/>
              </w:rPr>
            </w:pPr>
            <w:r>
              <w:rPr>
                <w:rFonts w:hint="eastAsia" w:ascii="宋体"/>
                <w:sz w:val="18"/>
                <w:szCs w:val="18"/>
              </w:rPr>
              <w:t>课外拓展阅读：</w:t>
            </w:r>
          </w:p>
          <w:p>
            <w:pPr>
              <w:snapToGrid w:val="0"/>
              <w:spacing w:line="288" w:lineRule="auto"/>
              <w:rPr>
                <w:rFonts w:ascii="宋体"/>
                <w:sz w:val="18"/>
                <w:szCs w:val="18"/>
              </w:rPr>
            </w:pPr>
            <w:r>
              <w:rPr>
                <w:rFonts w:hint="eastAsia" w:ascii="宋体"/>
                <w:sz w:val="18"/>
                <w:szCs w:val="18"/>
              </w:rPr>
              <w:t>《跨文化交际学概论》；</w:t>
            </w:r>
          </w:p>
          <w:p>
            <w:pPr>
              <w:snapToGrid w:val="0"/>
              <w:spacing w:line="288" w:lineRule="auto"/>
              <w:rPr>
                <w:rFonts w:ascii="宋体"/>
                <w:sz w:val="18"/>
                <w:szCs w:val="18"/>
              </w:rPr>
            </w:pPr>
            <w:r>
              <w:rPr>
                <w:rFonts w:hint="eastAsia" w:ascii="宋体"/>
                <w:sz w:val="18"/>
                <w:szCs w:val="18"/>
              </w:rPr>
              <w:t>《</w:t>
            </w:r>
            <w:r>
              <w:rPr>
                <w:rFonts w:ascii="宋体"/>
                <w:sz w:val="18"/>
                <w:szCs w:val="18"/>
              </w:rPr>
              <w:t>跨文化交际学基础</w:t>
            </w:r>
            <w:r>
              <w:rPr>
                <w:rFonts w:hint="eastAsia" w:ascii="宋体"/>
                <w:sz w:val="18"/>
                <w:szCs w:val="18"/>
              </w:rPr>
              <w:t>》；</w:t>
            </w:r>
          </w:p>
          <w:p>
            <w:pPr>
              <w:snapToGrid w:val="0"/>
              <w:spacing w:line="288" w:lineRule="auto"/>
              <w:rPr>
                <w:rFonts w:ascii="宋体"/>
                <w:sz w:val="18"/>
                <w:szCs w:val="18"/>
              </w:rPr>
            </w:pPr>
            <w:r>
              <w:rPr>
                <w:rFonts w:hint="eastAsia" w:ascii="宋体"/>
                <w:sz w:val="18"/>
                <w:szCs w:val="18"/>
              </w:rPr>
              <w:t>《跨文化交际学》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40" w:type="dxa"/>
            <w:vMerge w:val="continue"/>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案例分析（2）</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利用Kluckhohn &amp; Strodtbeck价值取向理论对跨文化交际案例进行分析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综合型</w:t>
            </w:r>
          </w:p>
        </w:tc>
        <w:tc>
          <w:tcPr>
            <w:tcW w:w="1544" w:type="dxa"/>
            <w:vMerge w:val="continue"/>
            <w:tcBorders>
              <w:left w:val="single" w:color="auto" w:sz="4" w:space="0"/>
              <w:right w:val="single" w:color="auto" w:sz="4" w:space="0"/>
            </w:tcBorders>
            <w:shd w:val="clear" w:color="auto" w:fill="auto"/>
            <w:vAlign w:val="center"/>
          </w:tcPr>
          <w:p>
            <w:pPr>
              <w:snapToGrid w:val="0"/>
              <w:spacing w:line="288"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40" w:type="dxa"/>
            <w:vMerge w:val="continue"/>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案例分析（3）</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利用Hofstede 的文化维度理论对跨文化交际案例进行分析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综合型</w:t>
            </w:r>
          </w:p>
        </w:tc>
        <w:tc>
          <w:tcPr>
            <w:tcW w:w="1544" w:type="dxa"/>
            <w:vMerge w:val="continue"/>
            <w:tcBorders>
              <w:left w:val="single" w:color="auto" w:sz="4" w:space="0"/>
              <w:right w:val="single" w:color="auto" w:sz="4" w:space="0"/>
            </w:tcBorders>
            <w:shd w:val="clear" w:color="auto" w:fill="auto"/>
            <w:vAlign w:val="center"/>
          </w:tcPr>
          <w:p>
            <w:pPr>
              <w:snapToGrid w:val="0"/>
              <w:spacing w:line="288"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情景模拟</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对商务和教育环境下的跨文化交际进行情景模拟学习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演示型</w:t>
            </w:r>
          </w:p>
        </w:tc>
        <w:tc>
          <w:tcPr>
            <w:tcW w:w="1544" w:type="dxa"/>
            <w:vMerge w:val="continue"/>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过程性测试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8"/>
                <w:szCs w:val="18"/>
              </w:rPr>
            </w:pPr>
            <w:r>
              <w:rPr>
                <w:rFonts w:hint="eastAsia" w:ascii="宋体"/>
                <w:sz w:val="18"/>
                <w:szCs w:val="18"/>
              </w:rPr>
              <w:t>书面报告：对文化、语言、交际三者间的关系进行归纳行描述并提出对跨文化交际的见解</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综合型</w:t>
            </w:r>
          </w:p>
        </w:tc>
        <w:tc>
          <w:tcPr>
            <w:tcW w:w="1544" w:type="dxa"/>
            <w:vMerge w:val="continue"/>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p>
        </w:tc>
      </w:tr>
    </w:tbl>
    <w:p>
      <w:pPr>
        <w:widowControl/>
        <w:spacing w:before="156" w:beforeLines="50"/>
        <w:jc w:val="left"/>
        <w:rPr>
          <w:rFonts w:ascii="黑体" w:hAnsi="宋体" w:eastAsia="黑体"/>
          <w:sz w:val="24"/>
        </w:rPr>
      </w:pPr>
    </w:p>
    <w:p>
      <w:pPr>
        <w:widowControl/>
        <w:spacing w:before="156" w:beforeLines="50"/>
        <w:ind w:firstLine="360" w:firstLineChars="150"/>
        <w:jc w:val="left"/>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1875" w:tblpY="7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笔试（闭卷）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书面报告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口头报告+PPT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课堂参与度</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56" w:beforeLines="50" w:line="288" w:lineRule="auto"/>
        <w:ind w:firstLine="400" w:firstLineChars="200"/>
        <w:rPr>
          <w:rFonts w:ascii="宋体" w:hAnsi="宋体"/>
          <w:sz w:val="20"/>
          <w:szCs w:val="20"/>
        </w:rPr>
      </w:pPr>
    </w:p>
    <w:p>
      <w:pPr>
        <w:snapToGrid w:val="0"/>
        <w:spacing w:line="288" w:lineRule="auto"/>
        <w:rPr>
          <w:sz w:val="28"/>
          <w:szCs w:val="28"/>
        </w:rPr>
      </w:pPr>
      <w:r>
        <w:rPr>
          <w:rFonts w:hint="eastAsia"/>
          <w:sz w:val="28"/>
          <w:szCs w:val="28"/>
        </w:rPr>
        <w:t>撰写人：</w:t>
      </w:r>
      <w:r>
        <w:rPr>
          <w:rFonts w:ascii="仿宋" w:hAnsi="仿宋" w:eastAsia="仿宋"/>
          <w:color w:val="000000"/>
          <w:position w:val="-20"/>
          <w:sz w:val="28"/>
          <w:szCs w:val="28"/>
        </w:rPr>
        <w:t xml:space="preserve">  </w:t>
      </w:r>
      <w:r>
        <w:rPr>
          <w:rFonts w:hint="eastAsia"/>
          <w:sz w:val="24"/>
        </w:rPr>
        <w:drawing>
          <wp:inline distT="0" distB="0" distL="0" distR="0">
            <wp:extent cx="425450" cy="260350"/>
            <wp:effectExtent l="0" t="0" r="0" b="6350"/>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37c905f0806ab9ea7a1d93f2a1ac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25450" cy="260350"/>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sz w:val="28"/>
          <w:szCs w:val="28"/>
        </w:rPr>
        <w:drawing>
          <wp:inline distT="0" distB="0" distL="0" distR="0">
            <wp:extent cx="1024255" cy="42037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24255" cy="420370"/>
                    </a:xfrm>
                    <a:prstGeom prst="rect">
                      <a:avLst/>
                    </a:prstGeom>
                    <a:noFill/>
                  </pic:spPr>
                </pic:pic>
              </a:graphicData>
            </a:graphic>
          </wp:inline>
        </w:drawing>
      </w:r>
    </w:p>
    <w:p>
      <w:pPr>
        <w:snapToGrid w:val="0"/>
        <w:spacing w:line="288" w:lineRule="auto"/>
      </w:pPr>
      <w:bookmarkStart w:id="1" w:name="_GoBack"/>
      <w:bookmarkEnd w:id="1"/>
      <w:r>
        <w:rPr>
          <w:rFonts w:hint="eastAsia"/>
          <w:sz w:val="28"/>
          <w:szCs w:val="28"/>
        </w:rPr>
        <w:t>审核时间：2</w:t>
      </w:r>
      <w:r>
        <w:rPr>
          <w:sz w:val="28"/>
          <w:szCs w:val="28"/>
        </w:rPr>
        <w:t>023</w:t>
      </w:r>
      <w:r>
        <w:rPr>
          <w:rFonts w:hint="eastAsia"/>
          <w:sz w:val="28"/>
          <w:szCs w:val="28"/>
        </w:rPr>
        <w:t xml:space="preserve">年3月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0279D"/>
    <w:rsid w:val="000205AB"/>
    <w:rsid w:val="00043F2E"/>
    <w:rsid w:val="00057D83"/>
    <w:rsid w:val="00082335"/>
    <w:rsid w:val="000969A9"/>
    <w:rsid w:val="000B7548"/>
    <w:rsid w:val="000C51AA"/>
    <w:rsid w:val="000F5603"/>
    <w:rsid w:val="001072BC"/>
    <w:rsid w:val="00124AD5"/>
    <w:rsid w:val="00133B8D"/>
    <w:rsid w:val="001936D1"/>
    <w:rsid w:val="001D10F3"/>
    <w:rsid w:val="001E059D"/>
    <w:rsid w:val="001E6C3E"/>
    <w:rsid w:val="00222E36"/>
    <w:rsid w:val="002315F1"/>
    <w:rsid w:val="00256B39"/>
    <w:rsid w:val="00257C29"/>
    <w:rsid w:val="0026033C"/>
    <w:rsid w:val="00277CA4"/>
    <w:rsid w:val="002A53C1"/>
    <w:rsid w:val="002E3721"/>
    <w:rsid w:val="002F2526"/>
    <w:rsid w:val="00300994"/>
    <w:rsid w:val="00305DE1"/>
    <w:rsid w:val="00313BBA"/>
    <w:rsid w:val="00315F4B"/>
    <w:rsid w:val="0032602E"/>
    <w:rsid w:val="00333BF6"/>
    <w:rsid w:val="003367AE"/>
    <w:rsid w:val="003A09FF"/>
    <w:rsid w:val="003B1258"/>
    <w:rsid w:val="003B7989"/>
    <w:rsid w:val="004016E9"/>
    <w:rsid w:val="00407F15"/>
    <w:rsid w:val="004100B0"/>
    <w:rsid w:val="00421603"/>
    <w:rsid w:val="00426CF1"/>
    <w:rsid w:val="00471913"/>
    <w:rsid w:val="0048569E"/>
    <w:rsid w:val="004935D2"/>
    <w:rsid w:val="00494953"/>
    <w:rsid w:val="0051058A"/>
    <w:rsid w:val="00516A0E"/>
    <w:rsid w:val="005262C3"/>
    <w:rsid w:val="005467DC"/>
    <w:rsid w:val="00550E1F"/>
    <w:rsid w:val="00552D07"/>
    <w:rsid w:val="00553D03"/>
    <w:rsid w:val="00557508"/>
    <w:rsid w:val="005637C8"/>
    <w:rsid w:val="005A13C9"/>
    <w:rsid w:val="005B2B6D"/>
    <w:rsid w:val="005B4B4E"/>
    <w:rsid w:val="00624FE1"/>
    <w:rsid w:val="006326EC"/>
    <w:rsid w:val="0063749B"/>
    <w:rsid w:val="0064036F"/>
    <w:rsid w:val="0064299C"/>
    <w:rsid w:val="006846FE"/>
    <w:rsid w:val="006974C3"/>
    <w:rsid w:val="006B311A"/>
    <w:rsid w:val="006C75BC"/>
    <w:rsid w:val="006D1AD8"/>
    <w:rsid w:val="00710364"/>
    <w:rsid w:val="0071522D"/>
    <w:rsid w:val="007208D6"/>
    <w:rsid w:val="00765170"/>
    <w:rsid w:val="00765F3D"/>
    <w:rsid w:val="00785D61"/>
    <w:rsid w:val="007A0F44"/>
    <w:rsid w:val="007B07EC"/>
    <w:rsid w:val="007C53F9"/>
    <w:rsid w:val="0087541D"/>
    <w:rsid w:val="008850D7"/>
    <w:rsid w:val="0089679C"/>
    <w:rsid w:val="008B397C"/>
    <w:rsid w:val="008B47F4"/>
    <w:rsid w:val="008D1F4A"/>
    <w:rsid w:val="008D30B7"/>
    <w:rsid w:val="008D6AAD"/>
    <w:rsid w:val="008F1FA6"/>
    <w:rsid w:val="008F5201"/>
    <w:rsid w:val="008F569B"/>
    <w:rsid w:val="00900019"/>
    <w:rsid w:val="009006FF"/>
    <w:rsid w:val="00901E4B"/>
    <w:rsid w:val="00971373"/>
    <w:rsid w:val="0099063E"/>
    <w:rsid w:val="009A47C2"/>
    <w:rsid w:val="009B3E79"/>
    <w:rsid w:val="009E3F22"/>
    <w:rsid w:val="00A00E0A"/>
    <w:rsid w:val="00A12B06"/>
    <w:rsid w:val="00A3159B"/>
    <w:rsid w:val="00A56499"/>
    <w:rsid w:val="00A769B1"/>
    <w:rsid w:val="00A837D5"/>
    <w:rsid w:val="00AC4C45"/>
    <w:rsid w:val="00AD5F03"/>
    <w:rsid w:val="00AD6814"/>
    <w:rsid w:val="00B02816"/>
    <w:rsid w:val="00B03FC5"/>
    <w:rsid w:val="00B4076D"/>
    <w:rsid w:val="00B46F21"/>
    <w:rsid w:val="00B511A5"/>
    <w:rsid w:val="00B7292D"/>
    <w:rsid w:val="00B736A7"/>
    <w:rsid w:val="00B7651F"/>
    <w:rsid w:val="00B8106C"/>
    <w:rsid w:val="00BA4311"/>
    <w:rsid w:val="00BF7A5D"/>
    <w:rsid w:val="00C02F3D"/>
    <w:rsid w:val="00C03E15"/>
    <w:rsid w:val="00C277F2"/>
    <w:rsid w:val="00C50F65"/>
    <w:rsid w:val="00C56E09"/>
    <w:rsid w:val="00C8657C"/>
    <w:rsid w:val="00C9714A"/>
    <w:rsid w:val="00CE0FEF"/>
    <w:rsid w:val="00CE68DA"/>
    <w:rsid w:val="00CF096B"/>
    <w:rsid w:val="00CF2102"/>
    <w:rsid w:val="00D26A28"/>
    <w:rsid w:val="00D5516E"/>
    <w:rsid w:val="00DA1764"/>
    <w:rsid w:val="00DF0731"/>
    <w:rsid w:val="00DF4478"/>
    <w:rsid w:val="00E161A2"/>
    <w:rsid w:val="00E16D30"/>
    <w:rsid w:val="00E33169"/>
    <w:rsid w:val="00E36569"/>
    <w:rsid w:val="00E54648"/>
    <w:rsid w:val="00E70904"/>
    <w:rsid w:val="00ED3C95"/>
    <w:rsid w:val="00EF44B1"/>
    <w:rsid w:val="00F35AA0"/>
    <w:rsid w:val="00F45935"/>
    <w:rsid w:val="00F83F43"/>
    <w:rsid w:val="00F90BF5"/>
    <w:rsid w:val="00FC6278"/>
    <w:rsid w:val="011E79E1"/>
    <w:rsid w:val="016E63C2"/>
    <w:rsid w:val="022E3F4D"/>
    <w:rsid w:val="024B0C39"/>
    <w:rsid w:val="02B9618E"/>
    <w:rsid w:val="046944AE"/>
    <w:rsid w:val="04DF7071"/>
    <w:rsid w:val="056B0ECF"/>
    <w:rsid w:val="069335EC"/>
    <w:rsid w:val="069E7076"/>
    <w:rsid w:val="06DE1114"/>
    <w:rsid w:val="0A0F140C"/>
    <w:rsid w:val="0A8128A6"/>
    <w:rsid w:val="0BF32A1B"/>
    <w:rsid w:val="0E493F4C"/>
    <w:rsid w:val="0E792DC5"/>
    <w:rsid w:val="0EDD761F"/>
    <w:rsid w:val="100B386B"/>
    <w:rsid w:val="103D6AA2"/>
    <w:rsid w:val="10BD2C22"/>
    <w:rsid w:val="11E46A41"/>
    <w:rsid w:val="1664351E"/>
    <w:rsid w:val="17D2656A"/>
    <w:rsid w:val="1864239C"/>
    <w:rsid w:val="18F11FA5"/>
    <w:rsid w:val="19BE2F35"/>
    <w:rsid w:val="1AF13D9C"/>
    <w:rsid w:val="1FCC65B6"/>
    <w:rsid w:val="20605476"/>
    <w:rsid w:val="2087020F"/>
    <w:rsid w:val="20B06AEB"/>
    <w:rsid w:val="21CD0FCB"/>
    <w:rsid w:val="2295217C"/>
    <w:rsid w:val="22987C80"/>
    <w:rsid w:val="22E024EC"/>
    <w:rsid w:val="24192CCC"/>
    <w:rsid w:val="247601DB"/>
    <w:rsid w:val="285B1145"/>
    <w:rsid w:val="28F71F57"/>
    <w:rsid w:val="2B9F4EF8"/>
    <w:rsid w:val="2BDC135F"/>
    <w:rsid w:val="2CB462B0"/>
    <w:rsid w:val="2DAD4E0C"/>
    <w:rsid w:val="2EC73685"/>
    <w:rsid w:val="2EEA47CB"/>
    <w:rsid w:val="2FE546E9"/>
    <w:rsid w:val="2FF42568"/>
    <w:rsid w:val="300764EF"/>
    <w:rsid w:val="300B2815"/>
    <w:rsid w:val="321640DD"/>
    <w:rsid w:val="32467190"/>
    <w:rsid w:val="3378769A"/>
    <w:rsid w:val="3496109B"/>
    <w:rsid w:val="34BE3D27"/>
    <w:rsid w:val="3529153E"/>
    <w:rsid w:val="37CD558C"/>
    <w:rsid w:val="381544AB"/>
    <w:rsid w:val="389D53AD"/>
    <w:rsid w:val="39A66CD4"/>
    <w:rsid w:val="3CB971B0"/>
    <w:rsid w:val="3CD52CE1"/>
    <w:rsid w:val="3E6120E1"/>
    <w:rsid w:val="3E792FBD"/>
    <w:rsid w:val="3FB80A49"/>
    <w:rsid w:val="410F2E6A"/>
    <w:rsid w:val="442205AA"/>
    <w:rsid w:val="4430136C"/>
    <w:rsid w:val="44A60DB5"/>
    <w:rsid w:val="4544392F"/>
    <w:rsid w:val="47174FB1"/>
    <w:rsid w:val="49CA4B95"/>
    <w:rsid w:val="4AB0382B"/>
    <w:rsid w:val="4C0B1482"/>
    <w:rsid w:val="4C7427E9"/>
    <w:rsid w:val="4CA8506F"/>
    <w:rsid w:val="4EC55D72"/>
    <w:rsid w:val="4EFC0CE8"/>
    <w:rsid w:val="508968A9"/>
    <w:rsid w:val="523A3274"/>
    <w:rsid w:val="53F7726F"/>
    <w:rsid w:val="54E241D9"/>
    <w:rsid w:val="569868B5"/>
    <w:rsid w:val="578D566B"/>
    <w:rsid w:val="5BB002DA"/>
    <w:rsid w:val="5D4763D1"/>
    <w:rsid w:val="5EDC4F53"/>
    <w:rsid w:val="60FD38C2"/>
    <w:rsid w:val="611F6817"/>
    <w:rsid w:val="61737D4A"/>
    <w:rsid w:val="63435C03"/>
    <w:rsid w:val="63B872B4"/>
    <w:rsid w:val="641359C9"/>
    <w:rsid w:val="6459340F"/>
    <w:rsid w:val="6678709D"/>
    <w:rsid w:val="66983DEB"/>
    <w:rsid w:val="66CA1754"/>
    <w:rsid w:val="66E079E0"/>
    <w:rsid w:val="69DB6D86"/>
    <w:rsid w:val="6A0F38F9"/>
    <w:rsid w:val="6A8B3C7A"/>
    <w:rsid w:val="6B707F4F"/>
    <w:rsid w:val="6E524B4F"/>
    <w:rsid w:val="6F1E65D4"/>
    <w:rsid w:val="6F266C86"/>
    <w:rsid w:val="6F5042C2"/>
    <w:rsid w:val="704668AC"/>
    <w:rsid w:val="711F35E0"/>
    <w:rsid w:val="71AA62F6"/>
    <w:rsid w:val="73655495"/>
    <w:rsid w:val="74165131"/>
    <w:rsid w:val="74316312"/>
    <w:rsid w:val="75972A42"/>
    <w:rsid w:val="766B347C"/>
    <w:rsid w:val="76860CBE"/>
    <w:rsid w:val="76950E7A"/>
    <w:rsid w:val="780F13C8"/>
    <w:rsid w:val="7896042A"/>
    <w:rsid w:val="79D30AFF"/>
    <w:rsid w:val="7AF723B0"/>
    <w:rsid w:val="7AF83FA0"/>
    <w:rsid w:val="7BE23357"/>
    <w:rsid w:val="7BF0400E"/>
    <w:rsid w:val="7C385448"/>
    <w:rsid w:val="7CB3663D"/>
    <w:rsid w:val="7D5329BD"/>
    <w:rsid w:val="7D7867E7"/>
    <w:rsid w:val="7EC43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F3CC4-1042-4BB2-B8EE-83FDA6B3543F}">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3927</Words>
  <Characters>4589</Characters>
  <Lines>40</Lines>
  <Paragraphs>11</Paragraphs>
  <TotalTime>0</TotalTime>
  <ScaleCrop>false</ScaleCrop>
  <LinksUpToDate>false</LinksUpToDate>
  <CharactersWithSpaces>5343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2018-05-22T00:31:00Z</cp:lastPrinted>
  <dcterms:modified xsi:type="dcterms:W3CDTF">2023-03-08T04:17:27Z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RubyTemplateID" linkTarget="0">
    <vt:lpwstr>6</vt:lpwstr>
  </property>
  <property fmtid="{D5CDD505-2E9C-101B-9397-08002B2CF9AE}" pid="4" name="ICV">
    <vt:lpwstr>71B21924D847430C9F509B3957E6B0A6</vt:lpwstr>
  </property>
</Properties>
</file>