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FD0B3">
      <w:pPr>
        <w:jc w:val="center"/>
        <w:rPr>
          <w:rFonts w:hint="eastAsia" w:ascii="黑体" w:hAnsi="黑体" w:eastAsia="黑体"/>
          <w:bCs/>
          <w:sz w:val="32"/>
          <w:szCs w:val="32"/>
        </w:rPr>
      </w:pPr>
      <w:r>
        <w:rPr>
          <w:rFonts w:hint="eastAsia" w:ascii="黑体" w:hAnsi="黑体" w:eastAsia="黑体"/>
          <w:bCs/>
          <w:sz w:val="32"/>
          <w:szCs w:val="32"/>
        </w:rPr>
        <w:t>《高级商务英语》本科课程教学大纲</w:t>
      </w:r>
    </w:p>
    <w:p w14:paraId="53E64063">
      <w:pPr>
        <w:pStyle w:val="16"/>
        <w:spacing w:before="326" w:beforeLines="100" w:line="360" w:lineRule="auto"/>
        <w:rPr>
          <w:rFonts w:hint="eastAsia"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07369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4340FC3E">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2F19AE0B">
            <w:pPr>
              <w:widowControl w:val="0"/>
              <w:jc w:val="both"/>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color w:val="000000" w:themeColor="text1"/>
                <w:sz w:val="21"/>
                <w:szCs w:val="21"/>
                <w14:textFill>
                  <w14:solidFill>
                    <w14:schemeClr w14:val="tx1"/>
                  </w14:solidFill>
                </w14:textFill>
              </w:rPr>
              <w:t>高级商务英语</w:t>
            </w:r>
          </w:p>
        </w:tc>
      </w:tr>
      <w:tr w14:paraId="0EE8A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5410DC48">
            <w:pPr>
              <w:widowControl w:val="0"/>
              <w:jc w:val="center"/>
              <w:rPr>
                <w:rFonts w:hint="eastAsia"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25DF9F22">
            <w:pPr>
              <w:widowControl w:val="0"/>
              <w:jc w:val="both"/>
              <w:rPr>
                <w:rFonts w:hint="eastAsia"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（英文）A</w:t>
            </w:r>
            <w:r>
              <w:rPr>
                <w:rFonts w:ascii="黑体" w:hAnsi="黑体" w:eastAsia="黑体"/>
                <w:color w:val="000000" w:themeColor="text1"/>
                <w:sz w:val="21"/>
                <w:szCs w:val="21"/>
                <w14:textFill>
                  <w14:solidFill>
                    <w14:schemeClr w14:val="tx1"/>
                  </w14:solidFill>
                </w14:textFill>
              </w:rPr>
              <w:t xml:space="preserve">dvanced Business English </w:t>
            </w:r>
          </w:p>
        </w:tc>
      </w:tr>
      <w:tr w14:paraId="2584C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D7C6D02">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796E8C89">
            <w:pPr>
              <w:widowControl w:val="0"/>
              <w:jc w:val="left"/>
              <w:rPr>
                <w:rFonts w:hint="eastAsia"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2020</w:t>
            </w: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66</w:t>
            </w:r>
          </w:p>
        </w:tc>
        <w:tc>
          <w:tcPr>
            <w:tcW w:w="2126" w:type="dxa"/>
            <w:gridSpan w:val="2"/>
            <w:vAlign w:val="center"/>
          </w:tcPr>
          <w:p w14:paraId="2112676C">
            <w:pPr>
              <w:widowControl w:val="0"/>
              <w:jc w:val="center"/>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5A165341">
            <w:pPr>
              <w:widowControl w:val="0"/>
              <w:jc w:val="left"/>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r>
      <w:tr w14:paraId="0E054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1DB8AAE">
            <w:pPr>
              <w:widowControl w:val="0"/>
              <w:jc w:val="center"/>
              <w:rPr>
                <w:rFonts w:hint="eastAsia"/>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0E641F2A">
            <w:pPr>
              <w:widowControl w:val="0"/>
              <w:jc w:val="left"/>
              <w:rPr>
                <w:rFonts w:ascii="Times New Roman" w:hAnsi="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32</w:t>
            </w:r>
          </w:p>
        </w:tc>
        <w:tc>
          <w:tcPr>
            <w:tcW w:w="1272" w:type="dxa"/>
            <w:vAlign w:val="center"/>
          </w:tcPr>
          <w:p w14:paraId="320C3BBE">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1A5CA551">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w:t>
            </w:r>
          </w:p>
        </w:tc>
        <w:tc>
          <w:tcPr>
            <w:tcW w:w="1413" w:type="dxa"/>
            <w:gridSpan w:val="2"/>
            <w:vAlign w:val="center"/>
          </w:tcPr>
          <w:p w14:paraId="6F3EDE3A">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59E0540D">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w:t>
            </w:r>
          </w:p>
        </w:tc>
      </w:tr>
      <w:tr w14:paraId="1ACC9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CCDF788">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049E2741">
            <w:pPr>
              <w:widowControl w:val="0"/>
              <w:jc w:val="left"/>
              <w:rPr>
                <w:rFonts w:hint="eastAsia"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外国语学院</w:t>
            </w:r>
          </w:p>
        </w:tc>
        <w:tc>
          <w:tcPr>
            <w:tcW w:w="2126" w:type="dxa"/>
            <w:gridSpan w:val="2"/>
            <w:vAlign w:val="center"/>
          </w:tcPr>
          <w:p w14:paraId="42548C0E">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408DCBB4">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英语专业本科二年级</w:t>
            </w:r>
          </w:p>
        </w:tc>
      </w:tr>
      <w:tr w14:paraId="62718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4F034A9">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7E20F582">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专业选修课程</w:t>
            </w:r>
          </w:p>
        </w:tc>
        <w:tc>
          <w:tcPr>
            <w:tcW w:w="2126" w:type="dxa"/>
            <w:gridSpan w:val="2"/>
            <w:vAlign w:val="center"/>
          </w:tcPr>
          <w:p w14:paraId="51776C52">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6D83556F">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14:paraId="2A325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84B3E4E">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39A205E9">
            <w:pPr>
              <w:widowControl w:val="0"/>
              <w:jc w:val="left"/>
              <w:rPr>
                <w:rFonts w:ascii="Times New Roman" w:hAnsi="Times New Roman"/>
                <w:color w:val="000000" w:themeColor="text1"/>
                <w:sz w:val="21"/>
                <w:szCs w:val="21"/>
                <w14:textFill>
                  <w14:solidFill>
                    <w14:schemeClr w14:val="tx1"/>
                  </w14:solidFill>
                </w14:textFill>
              </w:rPr>
            </w:pPr>
            <w:r>
              <w:rPr>
                <w:rFonts w:hint="eastAsia"/>
                <w:color w:val="000000"/>
                <w:sz w:val="20"/>
                <w:szCs w:val="20"/>
              </w:rPr>
              <w:t xml:space="preserve">《新标准商务英语综合教程2》 </w:t>
            </w:r>
            <w:r>
              <w:rPr>
                <w:color w:val="000000"/>
                <w:sz w:val="20"/>
                <w:szCs w:val="20"/>
              </w:rPr>
              <w:t>Tonya Trappe</w:t>
            </w:r>
            <w:r>
              <w:rPr>
                <w:rFonts w:hint="eastAsia"/>
                <w:color w:val="000000"/>
                <w:sz w:val="20"/>
                <w:szCs w:val="20"/>
              </w:rPr>
              <w:t>、G</w:t>
            </w:r>
            <w:r>
              <w:rPr>
                <w:color w:val="000000"/>
                <w:sz w:val="20"/>
                <w:szCs w:val="20"/>
              </w:rPr>
              <w:t>raham Tullis</w:t>
            </w:r>
            <w:r>
              <w:rPr>
                <w:rFonts w:hint="eastAsia"/>
                <w:color w:val="000000"/>
                <w:sz w:val="20"/>
                <w:szCs w:val="20"/>
              </w:rPr>
              <w:t>、王立非主编，I</w:t>
            </w:r>
            <w:r>
              <w:rPr>
                <w:color w:val="000000"/>
                <w:sz w:val="20"/>
                <w:szCs w:val="20"/>
              </w:rPr>
              <w:t xml:space="preserve">SBN </w:t>
            </w:r>
            <w:r>
              <w:rPr>
                <w:rFonts w:hint="eastAsia"/>
                <w:color w:val="000000"/>
                <w:sz w:val="20"/>
                <w:szCs w:val="20"/>
              </w:rPr>
              <w:t>9</w:t>
            </w:r>
            <w:r>
              <w:rPr>
                <w:color w:val="000000"/>
                <w:sz w:val="20"/>
                <w:szCs w:val="20"/>
              </w:rPr>
              <w:t>787521301038</w:t>
            </w:r>
            <w:r>
              <w:rPr>
                <w:rFonts w:hint="eastAsia"/>
                <w:color w:val="000000"/>
                <w:sz w:val="20"/>
                <w:szCs w:val="20"/>
              </w:rPr>
              <w:t>，外语教学与研究出版社，2</w:t>
            </w:r>
            <w:r>
              <w:rPr>
                <w:color w:val="000000"/>
                <w:sz w:val="20"/>
                <w:szCs w:val="20"/>
              </w:rPr>
              <w:t>018</w:t>
            </w:r>
            <w:r>
              <w:rPr>
                <w:rFonts w:hint="eastAsia"/>
                <w:color w:val="000000"/>
                <w:sz w:val="20"/>
                <w:szCs w:val="20"/>
              </w:rPr>
              <w:t>年8月第1版</w:t>
            </w:r>
          </w:p>
        </w:tc>
        <w:tc>
          <w:tcPr>
            <w:tcW w:w="1413" w:type="dxa"/>
            <w:gridSpan w:val="2"/>
            <w:vAlign w:val="center"/>
          </w:tcPr>
          <w:p w14:paraId="17C991BD">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2AE8CE30">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403AC8B3">
            <w:pPr>
              <w:widowControl w:val="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3755D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09" w:hRule="atLeast"/>
        </w:trPr>
        <w:tc>
          <w:tcPr>
            <w:tcW w:w="1691" w:type="dxa"/>
            <w:tcBorders>
              <w:left w:val="single" w:color="auto" w:sz="12" w:space="0"/>
            </w:tcBorders>
            <w:shd w:val="clear" w:color="auto" w:fill="auto"/>
            <w:vAlign w:val="center"/>
          </w:tcPr>
          <w:p w14:paraId="69222C7B">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58FD580B">
            <w:pPr>
              <w:pStyle w:val="14"/>
              <w:widowControl w:val="0"/>
              <w:jc w:val="both"/>
              <w:rPr>
                <w:sz w:val="20"/>
                <w:szCs w:val="20"/>
              </w:rPr>
            </w:pPr>
            <w:r>
              <w:rPr>
                <w:rFonts w:hint="eastAsia"/>
                <w:sz w:val="20"/>
                <w:szCs w:val="20"/>
              </w:rPr>
              <w:t>基础英语1 2020057（2）基础英语2 2020058（2）</w:t>
            </w:r>
          </w:p>
          <w:p w14:paraId="5F11577A">
            <w:pPr>
              <w:pStyle w:val="14"/>
              <w:widowControl w:val="0"/>
              <w:jc w:val="both"/>
            </w:pPr>
            <w:r>
              <w:rPr>
                <w:rFonts w:hint="eastAsia"/>
                <w:sz w:val="20"/>
                <w:szCs w:val="20"/>
              </w:rPr>
              <w:t xml:space="preserve">中级商务英语 </w:t>
            </w:r>
            <w:r>
              <w:rPr>
                <w:sz w:val="20"/>
                <w:szCs w:val="20"/>
              </w:rPr>
              <w:t xml:space="preserve">2020266 </w:t>
            </w:r>
            <w:r>
              <w:rPr>
                <w:rFonts w:hint="eastAsia"/>
                <w:sz w:val="20"/>
                <w:szCs w:val="20"/>
              </w:rPr>
              <w:t>（2）</w:t>
            </w:r>
          </w:p>
        </w:tc>
      </w:tr>
      <w:tr w14:paraId="3F237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738AEE6B">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6F95EA4C">
            <w:pPr>
              <w:pStyle w:val="14"/>
              <w:widowControl w:val="0"/>
              <w:jc w:val="both"/>
              <w:rPr>
                <w:sz w:val="20"/>
                <w:szCs w:val="20"/>
              </w:rPr>
            </w:pPr>
            <w:r>
              <w:rPr>
                <w:rFonts w:hint="eastAsia" w:asciiTheme="minorEastAsia" w:hAnsiTheme="minorEastAsia"/>
                <w:bCs/>
                <w:sz w:val="20"/>
                <w:szCs w:val="20"/>
              </w:rPr>
              <w:t>我院英语本科(商务方向)专业教学的目标旨在培养英语技能与商务专业知识兼备的高素质复合型、应用型人才。该专业</w:t>
            </w:r>
            <w:r>
              <w:rPr>
                <w:rFonts w:hint="eastAsia"/>
                <w:sz w:val="20"/>
                <w:szCs w:val="20"/>
              </w:rPr>
              <w:t>毕业生首先应具有深厚的爱国情怀和高度社会责任感，在具备扎实的英语语言功底的同时，还要掌握一定的商务理论知识、较强的商务管理及市场营销与调研等实际操作能力，并具有良好的人文素养及跨文化交流与沟通能力。</w:t>
            </w:r>
          </w:p>
          <w:p w14:paraId="0F1A96C7">
            <w:pPr>
              <w:pStyle w:val="14"/>
              <w:widowControl w:val="0"/>
              <w:jc w:val="both"/>
              <w:rPr>
                <w:rFonts w:hint="eastAsia" w:ascii="宋体" w:hAnsi="宋体"/>
                <w:sz w:val="20"/>
                <w:szCs w:val="20"/>
              </w:rPr>
            </w:pPr>
            <w:r>
              <w:rPr>
                <w:rFonts w:hint="eastAsia" w:ascii="宋体" w:hAnsi="宋体"/>
                <w:sz w:val="20"/>
                <w:szCs w:val="20"/>
              </w:rPr>
              <w:t>高级商务英语是根据上述人才培养的目标计划为英语专业本科一二年级学生设置的专业选修课程。它是商务方向企业管理类课程的入门课。本课程可以帮助学生在修完一年级基础英语课程以及二年级上学期中级商务英语课程的基础上，以商务英语课本中模拟的英语工作场景和工作内容为基本学习素材，拓宽学生商务视野，了解商务类课程的整体框架知识，实现从精通普通英语向熟悉掌握商务类英语转换的任务。同时，本课程引导落实思政元素，培养学生坚定的马克思主义信仰和中国特色社会主义信念，让学生从全球视角了解和理解中国的发展道路尤其是中国经济改革与发展的实践经验，拓展国际视野，坚定中国自信</w:t>
            </w:r>
            <w:r>
              <w:rPr>
                <w:rFonts w:ascii="宋体" w:hAnsi="宋体"/>
                <w:bCs/>
                <w:sz w:val="20"/>
                <w:szCs w:val="20"/>
              </w:rPr>
              <w:t>。</w:t>
            </w:r>
          </w:p>
          <w:p w14:paraId="70BDDF11">
            <w:pPr>
              <w:pStyle w:val="14"/>
              <w:widowControl w:val="0"/>
              <w:jc w:val="both"/>
            </w:pPr>
            <w:r>
              <w:rPr>
                <w:rFonts w:hint="eastAsia"/>
                <w:sz w:val="20"/>
                <w:szCs w:val="20"/>
              </w:rPr>
              <w:t>通过这门课程的教学，使</w:t>
            </w:r>
            <w:r>
              <w:rPr>
                <w:rFonts w:hint="eastAsia" w:asciiTheme="minorEastAsia" w:hAnsiTheme="minorEastAsia"/>
                <w:bCs/>
                <w:sz w:val="20"/>
                <w:szCs w:val="20"/>
              </w:rPr>
              <w:t>英语本科(商务方向)学生具备商务环境下的英语语言能力，进一步了解企业工作的实际环境以及具体工作内容和要求，最终能够较为熟练地运用英语从事国际商务、管理等相关职业的工作。</w:t>
            </w:r>
          </w:p>
        </w:tc>
      </w:tr>
      <w:tr w14:paraId="37A7C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29" w:hRule="atLeast"/>
        </w:trPr>
        <w:tc>
          <w:tcPr>
            <w:tcW w:w="1691" w:type="dxa"/>
            <w:tcBorders>
              <w:left w:val="single" w:color="auto" w:sz="12" w:space="0"/>
              <w:bottom w:val="double" w:color="auto" w:sz="4" w:space="0"/>
            </w:tcBorders>
            <w:shd w:val="clear" w:color="auto" w:fill="auto"/>
            <w:vAlign w:val="center"/>
          </w:tcPr>
          <w:p w14:paraId="4DB42270">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1299F70F">
            <w:pPr>
              <w:widowControl w:val="0"/>
              <w:snapToGrid w:val="0"/>
              <w:spacing w:line="288" w:lineRule="auto"/>
              <w:jc w:val="both"/>
              <w:rPr>
                <w:rFonts w:ascii="Calibri" w:hAnsi="Calibri" w:cs="Times New Roman"/>
                <w:color w:val="000000"/>
                <w:kern w:val="2"/>
                <w:sz w:val="20"/>
                <w:szCs w:val="20"/>
              </w:rPr>
            </w:pPr>
            <w:r>
              <w:rPr>
                <w:rFonts w:hint="eastAsia" w:ascii="Calibri" w:hAnsi="Calibri" w:cs="Times New Roman"/>
                <w:color w:val="000000"/>
                <w:kern w:val="2"/>
                <w:sz w:val="20"/>
                <w:szCs w:val="20"/>
              </w:rPr>
              <w:t>该课程以前期开设的基础英语课和中级商务英语课为基础，学生应具备一定的英语听说读写能力，并有较好的自学能力和学习习惯，在课程开设前对相关商务背景有一定了解。</w:t>
            </w:r>
          </w:p>
        </w:tc>
      </w:tr>
      <w:tr w14:paraId="47429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59" w:hRule="atLeast"/>
        </w:trPr>
        <w:tc>
          <w:tcPr>
            <w:tcW w:w="1691" w:type="dxa"/>
            <w:tcBorders>
              <w:top w:val="double" w:color="auto" w:sz="4" w:space="0"/>
              <w:left w:val="single" w:color="auto" w:sz="12" w:space="0"/>
            </w:tcBorders>
            <w:shd w:val="clear" w:color="auto" w:fill="auto"/>
            <w:vAlign w:val="center"/>
          </w:tcPr>
          <w:p w14:paraId="39D04BDA">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06FAC370">
            <w:pPr>
              <w:widowControl w:val="0"/>
              <w:jc w:val="left"/>
              <w:rPr>
                <w:rFonts w:hint="eastAsia"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0" distR="0">
                  <wp:extent cx="948055" cy="274955"/>
                  <wp:effectExtent l="0" t="0" r="0" b="0"/>
                  <wp:docPr id="10129125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912544"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77258" cy="283324"/>
                          </a:xfrm>
                          <a:prstGeom prst="rect">
                            <a:avLst/>
                          </a:prstGeom>
                        </pic:spPr>
                      </pic:pic>
                    </a:graphicData>
                  </a:graphic>
                </wp:inline>
              </w:drawing>
            </w:r>
            <w:r>
              <w:rPr>
                <w:rFonts w:hint="eastAsia"/>
                <w:sz w:val="21"/>
                <w:szCs w:val="21"/>
              </w:rPr>
              <w:t xml:space="preserve">         </w:t>
            </w:r>
          </w:p>
        </w:tc>
        <w:tc>
          <w:tcPr>
            <w:tcW w:w="1425" w:type="dxa"/>
            <w:gridSpan w:val="2"/>
            <w:tcBorders>
              <w:top w:val="double" w:color="auto" w:sz="4" w:space="0"/>
            </w:tcBorders>
            <w:vAlign w:val="center"/>
          </w:tcPr>
          <w:p w14:paraId="5D285FF9">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70F6CDD0">
            <w:pPr>
              <w:widowControl w:val="0"/>
              <w:jc w:val="center"/>
              <w:rPr>
                <w:rFonts w:hint="default" w:ascii="Times New Roman" w:hAnsi="Times New Roman" w:eastAsia="宋体"/>
                <w:color w:val="000000"/>
                <w:sz w:val="21"/>
                <w:szCs w:val="21"/>
                <w:lang w:val="en-US" w:eastAsia="zh-CN"/>
              </w:rPr>
            </w:pPr>
            <w:r>
              <w:rPr>
                <w:rFonts w:ascii="Times New Roman" w:hAnsi="Times New Roman"/>
                <w:color w:val="000000"/>
                <w:sz w:val="21"/>
                <w:szCs w:val="21"/>
              </w:rPr>
              <w:t>202</w:t>
            </w:r>
            <w:r>
              <w:rPr>
                <w:rFonts w:hint="eastAsia" w:ascii="Times New Roman" w:hAnsi="Times New Roman"/>
                <w:color w:val="000000"/>
                <w:sz w:val="21"/>
                <w:szCs w:val="21"/>
                <w:lang w:val="en-US" w:eastAsia="zh-CN"/>
              </w:rPr>
              <w:t>5年2月</w:t>
            </w:r>
          </w:p>
        </w:tc>
      </w:tr>
      <w:tr w14:paraId="62617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60873E18">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3F65F616">
            <w:pPr>
              <w:widowControl w:val="0"/>
              <w:jc w:val="right"/>
              <w:rPr>
                <w:rFonts w:hint="eastAsia" w:ascii="黑体" w:hAnsi="黑体" w:eastAsia="黑体"/>
                <w:color w:val="000000" w:themeColor="text1"/>
                <w:sz w:val="21"/>
                <w:szCs w:val="21"/>
                <w14:textFill>
                  <w14:solidFill>
                    <w14:schemeClr w14:val="tx1"/>
                  </w14:solidFill>
                </w14:textFill>
              </w:rPr>
            </w:pPr>
            <w:r>
              <w:rPr>
                <w:sz w:val="21"/>
                <w:szCs w:val="21"/>
              </w:rPr>
              <w:drawing>
                <wp:anchor distT="0" distB="0" distL="0" distR="0" simplePos="0" relativeHeight="251660288" behindDoc="0" locked="0" layoutInCell="1" allowOverlap="1">
                  <wp:simplePos x="0" y="0"/>
                  <wp:positionH relativeFrom="column">
                    <wp:posOffset>658495</wp:posOffset>
                  </wp:positionH>
                  <wp:positionV relativeFrom="paragraph">
                    <wp:posOffset>28575</wp:posOffset>
                  </wp:positionV>
                  <wp:extent cx="713105" cy="290830"/>
                  <wp:effectExtent l="0" t="0" r="10795" b="1397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11057" cy="290031"/>
                          </a:xfrm>
                          <a:prstGeom prst="rect">
                            <a:avLst/>
                          </a:prstGeom>
                          <a:noFill/>
                        </pic:spPr>
                      </pic:pic>
                    </a:graphicData>
                  </a:graphic>
                </wp:anchor>
              </w:drawing>
            </w:r>
          </w:p>
        </w:tc>
        <w:tc>
          <w:tcPr>
            <w:tcW w:w="1425" w:type="dxa"/>
            <w:gridSpan w:val="2"/>
            <w:vAlign w:val="center"/>
          </w:tcPr>
          <w:p w14:paraId="459E7BE4">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6C03A1C2">
            <w:pPr>
              <w:widowControl w:val="0"/>
              <w:jc w:val="center"/>
              <w:rPr>
                <w:rFonts w:ascii="Times New Roman" w:hAnsi="Times New Roman"/>
                <w:color w:val="000000"/>
                <w:sz w:val="21"/>
                <w:szCs w:val="21"/>
              </w:rPr>
            </w:pPr>
            <w:r>
              <w:rPr>
                <w:rFonts w:ascii="Times New Roman" w:hAnsi="Times New Roman"/>
                <w:color w:val="000000"/>
                <w:sz w:val="21"/>
                <w:szCs w:val="21"/>
              </w:rPr>
              <w:t>202</w:t>
            </w:r>
            <w:r>
              <w:rPr>
                <w:rFonts w:hint="eastAsia" w:ascii="Times New Roman" w:hAnsi="Times New Roman"/>
                <w:color w:val="000000"/>
                <w:sz w:val="21"/>
                <w:szCs w:val="21"/>
                <w:lang w:val="en-US" w:eastAsia="zh-CN"/>
              </w:rPr>
              <w:t>5年2月</w:t>
            </w:r>
          </w:p>
        </w:tc>
      </w:tr>
      <w:tr w14:paraId="7442F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503A0157">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5C525559">
            <w:pPr>
              <w:widowControl w:val="0"/>
              <w:jc w:val="right"/>
              <w:rPr>
                <w:rFonts w:hint="eastAsia" w:ascii="黑体" w:hAnsi="黑体" w:eastAsia="黑体"/>
                <w:color w:val="000000" w:themeColor="text1"/>
                <w:sz w:val="21"/>
                <w:szCs w:val="21"/>
                <w14:textFill>
                  <w14:solidFill>
                    <w14:schemeClr w14:val="tx1"/>
                  </w14:solidFill>
                </w14:textFill>
              </w:rPr>
            </w:pPr>
            <w:r>
              <w:drawing>
                <wp:anchor distT="0" distB="0" distL="0" distR="0" simplePos="0" relativeHeight="251659264" behindDoc="0" locked="0" layoutInCell="1" allowOverlap="1">
                  <wp:simplePos x="0" y="0"/>
                  <wp:positionH relativeFrom="column">
                    <wp:posOffset>858520</wp:posOffset>
                  </wp:positionH>
                  <wp:positionV relativeFrom="paragraph">
                    <wp:posOffset>24765</wp:posOffset>
                  </wp:positionV>
                  <wp:extent cx="838200" cy="304800"/>
                  <wp:effectExtent l="0" t="0" r="0" b="0"/>
                  <wp:wrapNone/>
                  <wp:docPr id="20426953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695308" name="图片 1"/>
                          <pic:cNvPicPr>
                            <a:picLocks noChangeAspect="1"/>
                          </pic:cNvPicPr>
                        </pic:nvPicPr>
                        <pic:blipFill>
                          <a:blip r:embed="rId7"/>
                          <a:stretch>
                            <a:fillRect/>
                          </a:stretch>
                        </pic:blipFill>
                        <pic:spPr>
                          <a:xfrm>
                            <a:off x="0" y="0"/>
                            <a:ext cx="838271" cy="304800"/>
                          </a:xfrm>
                          <a:prstGeom prst="rect">
                            <a:avLst/>
                          </a:prstGeom>
                        </pic:spPr>
                      </pic:pic>
                    </a:graphicData>
                  </a:graphic>
                </wp:anchor>
              </w:drawing>
            </w:r>
          </w:p>
        </w:tc>
        <w:tc>
          <w:tcPr>
            <w:tcW w:w="1425" w:type="dxa"/>
            <w:gridSpan w:val="2"/>
            <w:tcBorders>
              <w:bottom w:val="single" w:color="auto" w:sz="12" w:space="0"/>
            </w:tcBorders>
            <w:vAlign w:val="center"/>
          </w:tcPr>
          <w:p w14:paraId="5DA12301">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09C8B7E1">
            <w:pPr>
              <w:widowControl w:val="0"/>
              <w:jc w:val="center"/>
              <w:rPr>
                <w:rFonts w:ascii="Times New Roman" w:hAnsi="Times New Roman"/>
                <w:color w:val="000000"/>
                <w:sz w:val="21"/>
                <w:szCs w:val="21"/>
              </w:rPr>
            </w:pPr>
            <w:r>
              <w:rPr>
                <w:rFonts w:ascii="Times New Roman" w:hAnsi="Times New Roman"/>
                <w:color w:val="000000"/>
                <w:sz w:val="21"/>
                <w:szCs w:val="21"/>
              </w:rPr>
              <w:t>202</w:t>
            </w:r>
            <w:r>
              <w:rPr>
                <w:rFonts w:hint="eastAsia" w:ascii="Times New Roman" w:hAnsi="Times New Roman"/>
                <w:color w:val="000000"/>
                <w:sz w:val="21"/>
                <w:szCs w:val="21"/>
                <w:lang w:val="en-US" w:eastAsia="zh-CN"/>
              </w:rPr>
              <w:t>5年2月</w:t>
            </w:r>
            <w:bookmarkStart w:id="6" w:name="_GoBack"/>
            <w:bookmarkEnd w:id="6"/>
          </w:p>
        </w:tc>
      </w:tr>
    </w:tbl>
    <w:p w14:paraId="63C44197">
      <w:pPr>
        <w:pStyle w:val="16"/>
        <w:spacing w:before="326" w:beforeLines="100" w:line="360" w:lineRule="auto"/>
        <w:rPr>
          <w:rFonts w:hint="eastAsia" w:ascii="黑体" w:hAnsi="宋体"/>
        </w:rPr>
      </w:pPr>
      <w:r>
        <w:rPr>
          <w:rFonts w:hint="eastAsia" w:ascii="黑体" w:hAnsi="宋体"/>
        </w:rPr>
        <w:t>二、课程目标与毕业要求</w:t>
      </w:r>
    </w:p>
    <w:p w14:paraId="7B151E36">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8"/>
        <w:gridCol w:w="786"/>
        <w:gridCol w:w="6452"/>
      </w:tblGrid>
      <w:tr w14:paraId="4747BF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7434EE15">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2D9E8E32">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36C1E3AA">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内容</w:t>
            </w:r>
          </w:p>
        </w:tc>
      </w:tr>
      <w:tr w14:paraId="783BF6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269913C0">
            <w:pPr>
              <w:snapToGrid w:val="0"/>
              <w:jc w:val="center"/>
              <w:rPr>
                <w:rFonts w:hint="eastAsia"/>
              </w:rPr>
            </w:pPr>
            <w:r>
              <w:rPr>
                <w:rFonts w:hint="eastAsia" w:ascii="黑体" w:hAnsi="黑体" w:eastAsia="黑体"/>
                <w:bCs/>
                <w:color w:val="000000"/>
                <w:sz w:val="21"/>
                <w:szCs w:val="18"/>
              </w:rPr>
              <w:t>知识目标</w:t>
            </w:r>
          </w:p>
        </w:tc>
        <w:tc>
          <w:tcPr>
            <w:tcW w:w="782" w:type="dxa"/>
            <w:shd w:val="clear" w:color="auto" w:fill="auto"/>
            <w:vAlign w:val="center"/>
          </w:tcPr>
          <w:p w14:paraId="59976DA3">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14:paraId="2155EB98">
            <w:pPr>
              <w:pStyle w:val="14"/>
              <w:jc w:val="left"/>
              <w:rPr>
                <w:rFonts w:hint="eastAsia" w:ascii="宋体" w:hAnsi="宋体"/>
                <w:bCs/>
              </w:rPr>
            </w:pPr>
            <w:r>
              <w:rPr>
                <w:rFonts w:hint="eastAsia" w:ascii="宋体" w:hAnsi="宋体"/>
                <w:bCs/>
              </w:rPr>
              <w:t>具备较为扎实的英语语言功底，并了解商务领域相关基础理论知识。</w:t>
            </w:r>
          </w:p>
        </w:tc>
      </w:tr>
      <w:tr w14:paraId="1DB553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2F798108">
            <w:pPr>
              <w:snapToGrid w:val="0"/>
              <w:jc w:val="center"/>
              <w:rPr>
                <w:rFonts w:hint="eastAsia"/>
              </w:rPr>
            </w:pPr>
            <w:r>
              <w:rPr>
                <w:rFonts w:hint="eastAsia" w:ascii="黑体" w:hAnsi="黑体" w:eastAsia="黑体"/>
                <w:bCs/>
                <w:color w:val="000000"/>
                <w:sz w:val="21"/>
                <w:szCs w:val="18"/>
              </w:rPr>
              <w:t>技能目标</w:t>
            </w:r>
          </w:p>
        </w:tc>
        <w:tc>
          <w:tcPr>
            <w:tcW w:w="782" w:type="dxa"/>
            <w:shd w:val="clear" w:color="auto" w:fill="auto"/>
            <w:vAlign w:val="center"/>
          </w:tcPr>
          <w:p w14:paraId="6357CB2C">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459" w:type="dxa"/>
            <w:vAlign w:val="center"/>
          </w:tcPr>
          <w:p w14:paraId="3A1A4AD3">
            <w:pPr>
              <w:pStyle w:val="14"/>
              <w:jc w:val="left"/>
              <w:rPr>
                <w:rFonts w:hint="eastAsia" w:ascii="宋体" w:hAnsi="宋体"/>
                <w:bCs/>
              </w:rPr>
            </w:pPr>
            <w:r>
              <w:rPr>
                <w:rFonts w:hint="eastAsia" w:ascii="宋体" w:hAnsi="宋体"/>
                <w:bCs/>
              </w:rPr>
              <w:t>能够在模拟实际商务环境中熟练运用相关语言技能进行国际商务沟通和交际。</w:t>
            </w:r>
          </w:p>
        </w:tc>
      </w:tr>
      <w:tr w14:paraId="487CCC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764" w:hRule="atLeast"/>
          <w:jc w:val="center"/>
        </w:trPr>
        <w:tc>
          <w:tcPr>
            <w:tcW w:w="1235" w:type="dxa"/>
            <w:vMerge w:val="continue"/>
            <w:vAlign w:val="center"/>
          </w:tcPr>
          <w:p w14:paraId="504F319A">
            <w:pPr>
              <w:pStyle w:val="14"/>
              <w:rPr>
                <w:rFonts w:hint="eastAsia" w:ascii="宋体" w:hAnsi="宋体"/>
              </w:rPr>
            </w:pPr>
          </w:p>
        </w:tc>
        <w:tc>
          <w:tcPr>
            <w:tcW w:w="782" w:type="dxa"/>
            <w:shd w:val="clear" w:color="auto" w:fill="auto"/>
            <w:vAlign w:val="center"/>
          </w:tcPr>
          <w:p w14:paraId="092EBE16">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459" w:type="dxa"/>
            <w:vAlign w:val="center"/>
          </w:tcPr>
          <w:p w14:paraId="613EFD00">
            <w:pPr>
              <w:pStyle w:val="14"/>
              <w:jc w:val="left"/>
              <w:rPr>
                <w:rFonts w:hint="eastAsia" w:ascii="宋体" w:hAnsi="宋体"/>
                <w:bCs/>
              </w:rPr>
            </w:pPr>
            <w:r>
              <w:rPr>
                <w:rFonts w:hint="eastAsia" w:ascii="宋体" w:hAnsi="宋体"/>
                <w:bCs/>
              </w:rPr>
              <w:t>能够运用数字化网络手段收集相关商务领域的各种数据和信息，从中选取有效资料为己所用，主动安排学习计划，完成自主实践任务。</w:t>
            </w:r>
          </w:p>
        </w:tc>
      </w:tr>
      <w:tr w14:paraId="67277C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607" w:hRule="atLeast"/>
          <w:jc w:val="center"/>
        </w:trPr>
        <w:tc>
          <w:tcPr>
            <w:tcW w:w="1235" w:type="dxa"/>
            <w:vMerge w:val="continue"/>
            <w:vAlign w:val="center"/>
          </w:tcPr>
          <w:p w14:paraId="76CCB272">
            <w:pPr>
              <w:pStyle w:val="14"/>
              <w:rPr>
                <w:rFonts w:hint="eastAsia" w:ascii="宋体" w:hAnsi="宋体"/>
              </w:rPr>
            </w:pPr>
          </w:p>
        </w:tc>
        <w:tc>
          <w:tcPr>
            <w:tcW w:w="782" w:type="dxa"/>
            <w:shd w:val="clear" w:color="auto" w:fill="auto"/>
            <w:vAlign w:val="center"/>
          </w:tcPr>
          <w:p w14:paraId="25E6B009">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459" w:type="dxa"/>
            <w:vAlign w:val="center"/>
          </w:tcPr>
          <w:p w14:paraId="1DFBFD0C">
            <w:pPr>
              <w:pStyle w:val="14"/>
              <w:jc w:val="left"/>
              <w:rPr>
                <w:rFonts w:hint="eastAsia" w:ascii="宋体" w:hAnsi="宋体"/>
                <w:bCs/>
              </w:rPr>
            </w:pPr>
            <w:r>
              <w:rPr>
                <w:rFonts w:hint="eastAsia" w:cs="Times New Roman"/>
              </w:rPr>
              <w:t>能够积极参与社会实践，体验团队合作的精神，建立社会服务意识，提升思辩能力和解决实际问题的能力。</w:t>
            </w:r>
          </w:p>
        </w:tc>
      </w:tr>
      <w:tr w14:paraId="4657E7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917" w:hRule="atLeast"/>
          <w:jc w:val="center"/>
        </w:trPr>
        <w:tc>
          <w:tcPr>
            <w:tcW w:w="1235" w:type="dxa"/>
            <w:vAlign w:val="center"/>
          </w:tcPr>
          <w:p w14:paraId="70E1A966">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1C2CA425">
            <w:pPr>
              <w:snapToGrid w:val="0"/>
              <w:jc w:val="center"/>
              <w:rPr>
                <w:rFonts w:hint="eastAsia"/>
              </w:rP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77A1DD1B">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459" w:type="dxa"/>
            <w:vAlign w:val="center"/>
          </w:tcPr>
          <w:p w14:paraId="17AC4175">
            <w:pPr>
              <w:pStyle w:val="14"/>
              <w:jc w:val="left"/>
              <w:rPr>
                <w:rFonts w:hint="eastAsia" w:ascii="宋体" w:hAnsi="宋体"/>
                <w:bCs/>
              </w:rPr>
            </w:pPr>
            <w:r>
              <w:rPr>
                <w:rFonts w:hint="eastAsia" w:ascii="宋体" w:hAnsi="宋体"/>
                <w:bCs/>
              </w:rPr>
              <w:t>专业知识与德育元素自然和谐，培养深厚的中国特色社会主义家国情怀和高度社会责任感，明确爱国、诚信、敬业、友爱的精神，熟悉商务行业相关法律法规及职业道德规范，拓展国际视野，坚定文化自信。</w:t>
            </w:r>
          </w:p>
        </w:tc>
      </w:tr>
    </w:tbl>
    <w:p w14:paraId="355F4D82">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1E5E54F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600" w:hRule="atLeast"/>
        </w:trPr>
        <w:tc>
          <w:tcPr>
            <w:tcW w:w="8296" w:type="dxa"/>
          </w:tcPr>
          <w:p w14:paraId="242D4B85">
            <w:pPr>
              <w:pStyle w:val="14"/>
              <w:widowControl w:val="0"/>
              <w:jc w:val="left"/>
              <w:rPr>
                <w:rFonts w:hint="eastAsia" w:ascii="宋体" w:hAnsi="宋体"/>
                <w:bCs/>
              </w:rPr>
            </w:pPr>
            <w:r>
              <w:rPr>
                <w:rFonts w:cs="Times New Roman"/>
                <w:bCs/>
              </w:rPr>
              <w:t>LO1</w:t>
            </w:r>
            <w:r>
              <w:rPr>
                <w:rFonts w:hint="eastAsia" w:ascii="宋体" w:hAnsi="宋体"/>
                <w:bCs/>
              </w:rPr>
              <w:t>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78B6F83E">
            <w:pPr>
              <w:pStyle w:val="14"/>
              <w:widowControl w:val="0"/>
              <w:jc w:val="left"/>
              <w:rPr>
                <w:rFonts w:ascii="Cambria Math" w:hAnsi="Cambria Math" w:cs="Cambria Math"/>
                <w:szCs w:val="24"/>
              </w:rPr>
            </w:pPr>
            <w:r>
              <w:rPr>
                <w:rFonts w:hint="eastAsia" w:ascii="Cambria Math" w:hAnsi="Cambria Math" w:cs="Cambria Math"/>
                <w:szCs w:val="24"/>
              </w:rPr>
              <w:t>⑤爱岗敬业，热爱所学专业，勤学多练，锤炼技能。熟悉本专业相关的法律法规，在实习实践中自觉遵守职业规范，具备职业道德操守。</w:t>
            </w:r>
          </w:p>
        </w:tc>
      </w:tr>
      <w:tr w14:paraId="51E13DD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23ED631D">
            <w:pPr>
              <w:pStyle w:val="14"/>
              <w:widowControl w:val="0"/>
              <w:jc w:val="left"/>
              <w:rPr>
                <w:rFonts w:hint="eastAsia" w:ascii="宋体" w:hAnsi="宋体"/>
                <w:bCs/>
              </w:rPr>
            </w:pPr>
            <w:r>
              <w:rPr>
                <w:rFonts w:cs="Times New Roman"/>
              </w:rPr>
              <w:t>LO</w:t>
            </w:r>
            <w:r>
              <w:rPr>
                <w:rFonts w:hint="eastAsia" w:cs="Times New Roman"/>
              </w:rPr>
              <w:t>2</w:t>
            </w:r>
            <w:r>
              <w:rPr>
                <w:rFonts w:hint="eastAsia" w:ascii="宋体" w:hAnsi="宋体"/>
                <w:bCs/>
              </w:rPr>
              <w:t>专业能力：具有人文科学素养，具备从事某项工作或专业的理论知识、实践能力。</w:t>
            </w:r>
          </w:p>
          <w:p w14:paraId="650026E6">
            <w:pPr>
              <w:pStyle w:val="14"/>
              <w:widowControl w:val="0"/>
              <w:jc w:val="left"/>
              <w:rPr>
                <w:rFonts w:hint="eastAsia" w:ascii="宋体" w:hAnsi="宋体"/>
                <w:bCs/>
              </w:rPr>
            </w:pPr>
            <w:r>
              <w:rPr>
                <w:rFonts w:hint="eastAsia" w:ascii="Calibri" w:hAnsi="Calibri" w:cs="Calibri"/>
                <w:bCs/>
              </w:rPr>
              <w:t>⑤掌握商务实践知识，具有较强的外贸实务操作能力（国际商务方向）。</w:t>
            </w:r>
          </w:p>
        </w:tc>
      </w:tr>
      <w:tr w14:paraId="275FF2E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490D42DB">
            <w:pPr>
              <w:pStyle w:val="14"/>
              <w:widowControl w:val="0"/>
              <w:jc w:val="left"/>
              <w:rPr>
                <w:rFonts w:hint="eastAsia" w:ascii="宋体" w:hAnsi="宋体"/>
                <w:bCs/>
              </w:rPr>
            </w:pPr>
            <w:r>
              <w:rPr>
                <w:rFonts w:cs="Times New Roman"/>
                <w:bCs/>
              </w:rPr>
              <w:t>LO</w:t>
            </w:r>
            <w:r>
              <w:rPr>
                <w:rFonts w:hint="eastAsia" w:cs="Times New Roman"/>
                <w:bCs/>
              </w:rPr>
              <w:t>4</w:t>
            </w:r>
            <w:r>
              <w:rPr>
                <w:rFonts w:hint="eastAsia" w:ascii="宋体" w:hAnsi="宋体"/>
                <w:bCs/>
              </w:rPr>
              <w:t>自主学习：能根据环境需要确定自己的学习目标，并主动地通过搜集信息、分析信息、讨论、实践、质疑、创造等方法来实现学习目标。</w:t>
            </w:r>
          </w:p>
          <w:p w14:paraId="1CCAB3C9">
            <w:pPr>
              <w:pStyle w:val="14"/>
              <w:widowControl w:val="0"/>
              <w:jc w:val="left"/>
              <w:rPr>
                <w:rFonts w:hint="eastAsia" w:ascii="宋体" w:hAnsi="宋体"/>
                <w:bCs/>
              </w:rPr>
            </w:pPr>
            <w:r>
              <w:rPr>
                <w:rFonts w:ascii="Cambria Math" w:hAnsi="Cambria Math" w:cs="Cambria Math"/>
                <w:szCs w:val="24"/>
              </w:rPr>
              <w:t>①</w:t>
            </w:r>
            <w:r>
              <w:rPr>
                <w:rFonts w:hint="eastAsia" w:ascii="宋体" w:hAnsi="宋体"/>
                <w:sz w:val="20"/>
                <w:szCs w:val="20"/>
              </w:rPr>
              <w:t>能根据需要确定学习目标，并设计学习计划。</w:t>
            </w:r>
          </w:p>
        </w:tc>
      </w:tr>
      <w:tr w14:paraId="12B2E7D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64A4CC70">
            <w:pPr>
              <w:pStyle w:val="14"/>
              <w:widowControl w:val="0"/>
              <w:jc w:val="left"/>
              <w:rPr>
                <w:rFonts w:cs="Times New Roman"/>
                <w:bCs/>
              </w:rPr>
            </w:pPr>
            <w:r>
              <w:rPr>
                <w:rFonts w:cs="Times New Roman"/>
                <w:bCs/>
              </w:rPr>
              <w:t>LO6协同创新：同群体保持良好的合作关系，做集体中的积极成员，善于自我管理和团队管理；善于从多个维度思考问题，利用自己的知识与实践来提出新设想。</w:t>
            </w:r>
          </w:p>
          <w:p w14:paraId="4BA84D86">
            <w:pPr>
              <w:pStyle w:val="14"/>
              <w:widowControl w:val="0"/>
              <w:jc w:val="left"/>
              <w:rPr>
                <w:rFonts w:hint="eastAsia" w:ascii="宋体" w:hAnsi="宋体"/>
                <w:sz w:val="20"/>
                <w:szCs w:val="20"/>
              </w:rPr>
            </w:pPr>
            <w:r>
              <w:rPr>
                <w:rFonts w:hint="eastAsia" w:ascii="宋体" w:hAnsi="宋体"/>
                <w:sz w:val="20"/>
                <w:szCs w:val="20"/>
              </w:rPr>
              <w:t>②有质疑精神，能有逻辑的分析与批判。</w:t>
            </w:r>
          </w:p>
        </w:tc>
      </w:tr>
    </w:tbl>
    <w:p w14:paraId="74742A78">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80"/>
        <w:gridCol w:w="797"/>
        <w:gridCol w:w="785"/>
        <w:gridCol w:w="4765"/>
        <w:gridCol w:w="1349"/>
      </w:tblGrid>
      <w:tr w14:paraId="5A6EC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278E2CDD">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145BEA16">
            <w:pPr>
              <w:pStyle w:val="13"/>
              <w:rPr>
                <w:szCs w:val="16"/>
              </w:rPr>
            </w:pPr>
            <w:r>
              <w:rPr>
                <w:rFonts w:hint="eastAsia"/>
                <w:szCs w:val="16"/>
              </w:rPr>
              <w:t>指标点</w:t>
            </w:r>
          </w:p>
        </w:tc>
        <w:tc>
          <w:tcPr>
            <w:tcW w:w="782" w:type="dxa"/>
            <w:tcBorders>
              <w:top w:val="single" w:color="auto" w:sz="12" w:space="0"/>
              <w:right w:val="double" w:color="auto" w:sz="4" w:space="0"/>
            </w:tcBorders>
            <w:shd w:val="clear" w:color="auto" w:fill="auto"/>
            <w:vAlign w:val="center"/>
          </w:tcPr>
          <w:p w14:paraId="253012A1">
            <w:pPr>
              <w:pStyle w:val="13"/>
              <w:rPr>
                <w:szCs w:val="16"/>
              </w:rPr>
            </w:pPr>
            <w:r>
              <w:rPr>
                <w:rFonts w:hint="eastAsia"/>
                <w:szCs w:val="16"/>
              </w:rPr>
              <w:t>支撑度</w:t>
            </w:r>
          </w:p>
        </w:tc>
        <w:tc>
          <w:tcPr>
            <w:tcW w:w="4775" w:type="dxa"/>
            <w:tcBorders>
              <w:top w:val="single" w:color="auto" w:sz="12" w:space="0"/>
            </w:tcBorders>
            <w:vAlign w:val="center"/>
          </w:tcPr>
          <w:p w14:paraId="40476CA6">
            <w:pPr>
              <w:pStyle w:val="13"/>
              <w:rPr>
                <w:szCs w:val="16"/>
              </w:rPr>
            </w:pPr>
            <w:r>
              <w:rPr>
                <w:rFonts w:hint="eastAsia"/>
                <w:szCs w:val="16"/>
              </w:rPr>
              <w:t>课程目标</w:t>
            </w:r>
          </w:p>
        </w:tc>
        <w:tc>
          <w:tcPr>
            <w:tcW w:w="1348" w:type="dxa"/>
            <w:tcBorders>
              <w:top w:val="single" w:color="auto" w:sz="12" w:space="0"/>
              <w:right w:val="single" w:color="auto" w:sz="12" w:space="0"/>
            </w:tcBorders>
            <w:vAlign w:val="center"/>
          </w:tcPr>
          <w:p w14:paraId="0F20050F">
            <w:pPr>
              <w:pStyle w:val="13"/>
              <w:rPr>
                <w:szCs w:val="16"/>
              </w:rPr>
            </w:pPr>
            <w:r>
              <w:rPr>
                <w:rFonts w:hint="eastAsia"/>
                <w:szCs w:val="16"/>
              </w:rPr>
              <w:t>对指标点的贡献度</w:t>
            </w:r>
          </w:p>
        </w:tc>
      </w:tr>
      <w:tr w14:paraId="4D34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65FD712A">
            <w:pPr>
              <w:pStyle w:val="14"/>
            </w:pPr>
            <w:r>
              <w:rPr>
                <w:rFonts w:cs="Times New Roman"/>
                <w:b/>
                <w:bCs/>
              </w:rPr>
              <w:t>LO1</w:t>
            </w:r>
          </w:p>
        </w:tc>
        <w:tc>
          <w:tcPr>
            <w:tcW w:w="794" w:type="dxa"/>
            <w:tcBorders>
              <w:left w:val="single" w:color="auto" w:sz="4" w:space="0"/>
            </w:tcBorders>
            <w:vAlign w:val="center"/>
          </w:tcPr>
          <w:p w14:paraId="46EB4AAC">
            <w:pPr>
              <w:pStyle w:val="14"/>
              <w:rPr>
                <w:rFonts w:cs="Times New Roman"/>
                <w:bCs/>
              </w:rPr>
            </w:pPr>
            <w:r>
              <w:rPr>
                <w:rFonts w:cs="Times New Roman"/>
              </w:rPr>
              <w:fldChar w:fldCharType="begin"/>
            </w:r>
            <w:r>
              <w:rPr>
                <w:rFonts w:cs="Times New Roman"/>
              </w:rPr>
              <w:instrText xml:space="preserve"> </w:instrText>
            </w:r>
            <w:r>
              <w:rPr>
                <w:rFonts w:hint="eastAsia" w:cs="Times New Roman"/>
              </w:rPr>
              <w:instrText xml:space="preserve">eq \o\ac(</w:instrText>
            </w:r>
            <w:r>
              <w:rPr>
                <w:rFonts w:hint="eastAsia" w:ascii="宋体" w:cs="Times New Roman"/>
                <w:position w:val="-4"/>
                <w:sz w:val="31"/>
              </w:rPr>
              <w:instrText xml:space="preserve">○</w:instrText>
            </w:r>
            <w:r>
              <w:rPr>
                <w:rFonts w:hint="eastAsia" w:cs="Times New Roman"/>
              </w:rPr>
              <w:instrText xml:space="preserve">,5)</w:instrText>
            </w:r>
            <w:r>
              <w:rPr>
                <w:rFonts w:cs="Times New Roman"/>
              </w:rPr>
              <w:fldChar w:fldCharType="end"/>
            </w:r>
          </w:p>
        </w:tc>
        <w:tc>
          <w:tcPr>
            <w:tcW w:w="782" w:type="dxa"/>
            <w:tcBorders>
              <w:right w:val="double" w:color="auto" w:sz="4" w:space="0"/>
            </w:tcBorders>
            <w:shd w:val="clear" w:color="auto" w:fill="auto"/>
            <w:vAlign w:val="center"/>
          </w:tcPr>
          <w:p w14:paraId="4B9C9056">
            <w:pPr>
              <w:pStyle w:val="14"/>
              <w:rPr>
                <w:rFonts w:hint="eastAsia" w:ascii="宋体" w:hAnsi="宋体"/>
              </w:rPr>
            </w:pPr>
            <w:r>
              <w:rPr>
                <w:rFonts w:cs="Times New Roman"/>
              </w:rPr>
              <w:t>M</w:t>
            </w:r>
          </w:p>
        </w:tc>
        <w:tc>
          <w:tcPr>
            <w:tcW w:w="4775" w:type="dxa"/>
            <w:tcBorders>
              <w:bottom w:val="single" w:color="auto" w:sz="4" w:space="0"/>
            </w:tcBorders>
          </w:tcPr>
          <w:p w14:paraId="505A03A4">
            <w:pPr>
              <w:pStyle w:val="14"/>
              <w:jc w:val="both"/>
              <w:rPr>
                <w:rFonts w:hint="eastAsia" w:ascii="宋体" w:hAnsi="宋体"/>
                <w:bCs/>
              </w:rPr>
            </w:pPr>
            <w:r>
              <w:rPr>
                <w:rFonts w:cs="Times New Roman"/>
                <w:bCs/>
              </w:rPr>
              <w:t>5</w:t>
            </w:r>
            <w:r>
              <w:rPr>
                <w:rFonts w:hint="eastAsia" w:ascii="宋体" w:hAnsi="宋体"/>
                <w:bCs/>
              </w:rPr>
              <w:t>.</w:t>
            </w:r>
            <w:r>
              <w:rPr>
                <w:rFonts w:hint="eastAsia"/>
              </w:rPr>
              <w:t xml:space="preserve"> </w:t>
            </w:r>
            <w:r>
              <w:rPr>
                <w:rFonts w:hint="eastAsia" w:ascii="宋体" w:hAnsi="宋体"/>
                <w:bCs/>
              </w:rPr>
              <w:t>专业知识与德育元素自然和谐，培养深厚的中国特色社会主义家国情怀和高度社会责任感，明确爱国、诚信、敬业、友爱的精神，熟悉商务行业相关法律法规及职业道德规范，拓展国际视野，坚定文化自信。</w:t>
            </w:r>
          </w:p>
        </w:tc>
        <w:tc>
          <w:tcPr>
            <w:tcW w:w="1348" w:type="dxa"/>
            <w:tcBorders>
              <w:right w:val="single" w:color="auto" w:sz="12" w:space="0"/>
            </w:tcBorders>
            <w:vAlign w:val="center"/>
          </w:tcPr>
          <w:p w14:paraId="284A8099">
            <w:pPr>
              <w:pStyle w:val="14"/>
              <w:rPr>
                <w:rFonts w:hint="eastAsia" w:ascii="宋体" w:hAnsi="宋体"/>
                <w:bCs/>
              </w:rPr>
            </w:pPr>
            <w:r>
              <w:rPr>
                <w:rFonts w:ascii="宋体" w:hAnsi="宋体"/>
                <w:bCs/>
              </w:rPr>
              <w:t>100%</w:t>
            </w:r>
          </w:p>
        </w:tc>
      </w:tr>
      <w:tr w14:paraId="0B4D7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84" w:hRule="atLeast"/>
          <w:jc w:val="center"/>
        </w:trPr>
        <w:tc>
          <w:tcPr>
            <w:tcW w:w="777" w:type="dxa"/>
            <w:vMerge w:val="restart"/>
            <w:tcBorders>
              <w:left w:val="single" w:color="auto" w:sz="12" w:space="0"/>
              <w:right w:val="single" w:color="auto" w:sz="4" w:space="0"/>
            </w:tcBorders>
            <w:shd w:val="clear" w:color="auto" w:fill="auto"/>
            <w:vAlign w:val="center"/>
          </w:tcPr>
          <w:p w14:paraId="66E76B76">
            <w:pPr>
              <w:pStyle w:val="14"/>
            </w:pPr>
            <w:r>
              <w:rPr>
                <w:rFonts w:cs="Times New Roman"/>
                <w:b/>
                <w:bCs/>
              </w:rPr>
              <w:t>LO</w:t>
            </w:r>
            <w:r>
              <w:rPr>
                <w:rFonts w:hint="eastAsia" w:cs="Times New Roman"/>
                <w:b/>
                <w:bCs/>
              </w:rPr>
              <w:t>2</w:t>
            </w:r>
          </w:p>
        </w:tc>
        <w:tc>
          <w:tcPr>
            <w:tcW w:w="794" w:type="dxa"/>
            <w:vMerge w:val="restart"/>
            <w:tcBorders>
              <w:left w:val="single" w:color="auto" w:sz="4" w:space="0"/>
            </w:tcBorders>
            <w:vAlign w:val="center"/>
          </w:tcPr>
          <w:p w14:paraId="57126F59">
            <w:pPr>
              <w:pStyle w:val="14"/>
              <w:rPr>
                <w:rFonts w:cs="Times New Roman"/>
                <w:bCs/>
              </w:rPr>
            </w:pPr>
            <w:r>
              <w:rPr>
                <w:rFonts w:cs="Times New Roman"/>
              </w:rPr>
              <w:fldChar w:fldCharType="begin"/>
            </w:r>
            <w:r>
              <w:rPr>
                <w:rFonts w:cs="Times New Roman"/>
              </w:rPr>
              <w:instrText xml:space="preserve"> </w:instrText>
            </w:r>
            <w:r>
              <w:rPr>
                <w:rFonts w:hint="eastAsia" w:cs="Times New Roman"/>
              </w:rPr>
              <w:instrText xml:space="preserve">eq \o\ac(</w:instrText>
            </w:r>
            <w:r>
              <w:rPr>
                <w:rFonts w:hint="eastAsia" w:ascii="宋体" w:cs="Times New Roman"/>
                <w:position w:val="-4"/>
                <w:sz w:val="31"/>
              </w:rPr>
              <w:instrText xml:space="preserve">○</w:instrText>
            </w:r>
            <w:r>
              <w:rPr>
                <w:rFonts w:hint="eastAsia" w:cs="Times New Roman"/>
              </w:rPr>
              <w:instrText xml:space="preserve">,5)</w:instrText>
            </w:r>
            <w:r>
              <w:rPr>
                <w:rFonts w:cs="Times New Roman"/>
              </w:rPr>
              <w:fldChar w:fldCharType="end"/>
            </w:r>
          </w:p>
        </w:tc>
        <w:tc>
          <w:tcPr>
            <w:tcW w:w="782" w:type="dxa"/>
            <w:vMerge w:val="restart"/>
            <w:tcBorders>
              <w:right w:val="double" w:color="auto" w:sz="4" w:space="0"/>
            </w:tcBorders>
            <w:shd w:val="clear" w:color="auto" w:fill="auto"/>
            <w:vAlign w:val="center"/>
          </w:tcPr>
          <w:p w14:paraId="79468F3B">
            <w:pPr>
              <w:pStyle w:val="14"/>
              <w:ind w:firstLine="210" w:firstLineChars="100"/>
              <w:jc w:val="left"/>
              <w:rPr>
                <w:rFonts w:hint="eastAsia" w:ascii="宋体" w:hAnsi="宋体"/>
              </w:rPr>
            </w:pPr>
            <w:r>
              <w:rPr>
                <w:rFonts w:cs="Times New Roman"/>
              </w:rPr>
              <w:t>H</w:t>
            </w:r>
          </w:p>
        </w:tc>
        <w:tc>
          <w:tcPr>
            <w:tcW w:w="4775" w:type="dxa"/>
            <w:vAlign w:val="center"/>
          </w:tcPr>
          <w:p w14:paraId="22F1CBD6">
            <w:pPr>
              <w:pStyle w:val="14"/>
              <w:jc w:val="left"/>
              <w:rPr>
                <w:rFonts w:hint="eastAsia" w:ascii="宋体" w:hAnsi="宋体"/>
                <w:bCs/>
              </w:rPr>
            </w:pPr>
            <w:r>
              <w:rPr>
                <w:rFonts w:cs="Times New Roman"/>
                <w:bCs/>
              </w:rPr>
              <w:t>1.</w:t>
            </w:r>
            <w:r>
              <w:rPr>
                <w:rFonts w:hint="eastAsia"/>
              </w:rPr>
              <w:t xml:space="preserve"> </w:t>
            </w:r>
            <w:r>
              <w:rPr>
                <w:rFonts w:hint="eastAsia" w:ascii="宋体" w:hAnsi="宋体"/>
                <w:bCs/>
              </w:rPr>
              <w:t>具备较为扎实的英语语言功底，并了解商务领域相关基础理论知识。</w:t>
            </w:r>
          </w:p>
        </w:tc>
        <w:tc>
          <w:tcPr>
            <w:tcW w:w="1348" w:type="dxa"/>
            <w:tcBorders>
              <w:right w:val="single" w:color="auto" w:sz="12" w:space="0"/>
            </w:tcBorders>
            <w:vAlign w:val="center"/>
          </w:tcPr>
          <w:p w14:paraId="31259EE5">
            <w:pPr>
              <w:pStyle w:val="14"/>
              <w:rPr>
                <w:rFonts w:hint="eastAsia" w:ascii="宋体" w:hAnsi="宋体"/>
                <w:bCs/>
              </w:rPr>
            </w:pPr>
            <w:r>
              <w:rPr>
                <w:rFonts w:ascii="宋体" w:hAnsi="宋体"/>
                <w:bCs/>
              </w:rPr>
              <w:t>50%</w:t>
            </w:r>
          </w:p>
        </w:tc>
      </w:tr>
      <w:tr w14:paraId="5A4E9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68" w:hRule="atLeast"/>
          <w:jc w:val="center"/>
        </w:trPr>
        <w:tc>
          <w:tcPr>
            <w:tcW w:w="777" w:type="dxa"/>
            <w:vMerge w:val="continue"/>
            <w:tcBorders>
              <w:left w:val="single" w:color="auto" w:sz="12" w:space="0"/>
              <w:right w:val="single" w:color="auto" w:sz="4" w:space="0"/>
            </w:tcBorders>
            <w:shd w:val="clear" w:color="auto" w:fill="auto"/>
            <w:vAlign w:val="center"/>
          </w:tcPr>
          <w:p w14:paraId="5B797D67">
            <w:pPr>
              <w:pStyle w:val="14"/>
              <w:rPr>
                <w:rFonts w:cs="Times New Roman"/>
                <w:b/>
                <w:bCs/>
              </w:rPr>
            </w:pPr>
          </w:p>
        </w:tc>
        <w:tc>
          <w:tcPr>
            <w:tcW w:w="794" w:type="dxa"/>
            <w:vMerge w:val="continue"/>
            <w:tcBorders>
              <w:left w:val="single" w:color="auto" w:sz="4" w:space="0"/>
            </w:tcBorders>
            <w:vAlign w:val="center"/>
          </w:tcPr>
          <w:p w14:paraId="5ECCD1BA">
            <w:pPr>
              <w:pStyle w:val="14"/>
              <w:rPr>
                <w:rFonts w:cs="Times New Roman"/>
              </w:rPr>
            </w:pPr>
          </w:p>
        </w:tc>
        <w:tc>
          <w:tcPr>
            <w:tcW w:w="782" w:type="dxa"/>
            <w:vMerge w:val="continue"/>
            <w:tcBorders>
              <w:right w:val="double" w:color="auto" w:sz="4" w:space="0"/>
            </w:tcBorders>
            <w:shd w:val="clear" w:color="auto" w:fill="auto"/>
            <w:vAlign w:val="center"/>
          </w:tcPr>
          <w:p w14:paraId="7296A954">
            <w:pPr>
              <w:pStyle w:val="14"/>
              <w:rPr>
                <w:rFonts w:cs="Times New Roman"/>
              </w:rPr>
            </w:pPr>
          </w:p>
        </w:tc>
        <w:tc>
          <w:tcPr>
            <w:tcW w:w="4775" w:type="dxa"/>
            <w:vAlign w:val="center"/>
          </w:tcPr>
          <w:p w14:paraId="18EAF6C6">
            <w:pPr>
              <w:pStyle w:val="14"/>
              <w:jc w:val="left"/>
              <w:rPr>
                <w:rFonts w:hint="eastAsia" w:ascii="宋体" w:hAnsi="宋体"/>
                <w:bCs/>
              </w:rPr>
            </w:pPr>
            <w:r>
              <w:rPr>
                <w:rFonts w:cs="Times New Roman"/>
                <w:bCs/>
              </w:rPr>
              <w:t>2.</w:t>
            </w:r>
            <w:r>
              <w:rPr>
                <w:rFonts w:hint="eastAsia" w:ascii="宋体" w:hAnsi="宋体"/>
                <w:bCs/>
              </w:rPr>
              <w:t xml:space="preserve"> 能够在模拟实际商务环境中熟练运用相关语言技能进行国际商务沟通和交际。</w:t>
            </w:r>
          </w:p>
        </w:tc>
        <w:tc>
          <w:tcPr>
            <w:tcW w:w="1348" w:type="dxa"/>
            <w:tcBorders>
              <w:right w:val="single" w:color="auto" w:sz="12" w:space="0"/>
            </w:tcBorders>
            <w:vAlign w:val="center"/>
          </w:tcPr>
          <w:p w14:paraId="0909DC21">
            <w:pPr>
              <w:pStyle w:val="14"/>
              <w:rPr>
                <w:rFonts w:hint="eastAsia" w:ascii="宋体" w:hAnsi="宋体"/>
                <w:bCs/>
              </w:rPr>
            </w:pPr>
            <w:r>
              <w:rPr>
                <w:rFonts w:hint="eastAsia" w:ascii="宋体" w:hAnsi="宋体"/>
                <w:bCs/>
              </w:rPr>
              <w:t>5</w:t>
            </w:r>
            <w:r>
              <w:rPr>
                <w:rFonts w:ascii="宋体" w:hAnsi="宋体"/>
                <w:bCs/>
              </w:rPr>
              <w:t>0%</w:t>
            </w:r>
          </w:p>
        </w:tc>
      </w:tr>
      <w:tr w14:paraId="7B668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66" w:hRule="atLeast"/>
          <w:jc w:val="center"/>
        </w:trPr>
        <w:tc>
          <w:tcPr>
            <w:tcW w:w="777" w:type="dxa"/>
            <w:tcBorders>
              <w:left w:val="single" w:color="auto" w:sz="12" w:space="0"/>
              <w:right w:val="single" w:color="auto" w:sz="4" w:space="0"/>
            </w:tcBorders>
            <w:shd w:val="clear" w:color="auto" w:fill="auto"/>
            <w:vAlign w:val="center"/>
          </w:tcPr>
          <w:p w14:paraId="4B7C18E1">
            <w:pPr>
              <w:pStyle w:val="14"/>
              <w:rPr>
                <w:rFonts w:cs="Times New Roman"/>
                <w:b/>
                <w:bCs/>
              </w:rPr>
            </w:pPr>
            <w:r>
              <w:rPr>
                <w:rFonts w:cs="Times New Roman"/>
                <w:b/>
                <w:bCs/>
              </w:rPr>
              <w:t>LO</w:t>
            </w:r>
            <w:r>
              <w:rPr>
                <w:rFonts w:hint="eastAsia" w:cs="Times New Roman"/>
                <w:b/>
                <w:bCs/>
              </w:rPr>
              <w:t>4</w:t>
            </w:r>
          </w:p>
        </w:tc>
        <w:tc>
          <w:tcPr>
            <w:tcW w:w="794" w:type="dxa"/>
            <w:tcBorders>
              <w:left w:val="single" w:color="auto" w:sz="4" w:space="0"/>
            </w:tcBorders>
            <w:vAlign w:val="center"/>
          </w:tcPr>
          <w:p w14:paraId="72D347C7">
            <w:pPr>
              <w:pStyle w:val="14"/>
              <w:rPr>
                <w:rFonts w:cs="Times New Roman"/>
              </w:rPr>
            </w:pPr>
            <w:r>
              <w:rPr>
                <w:rFonts w:cs="Times New Roman"/>
              </w:rPr>
              <w:fldChar w:fldCharType="begin"/>
            </w:r>
            <w:r>
              <w:rPr>
                <w:rFonts w:cs="Times New Roman"/>
              </w:rPr>
              <w:instrText xml:space="preserve"> </w:instrText>
            </w:r>
            <w:r>
              <w:rPr>
                <w:rFonts w:hint="eastAsia" w:cs="Times New Roman"/>
              </w:rPr>
              <w:instrText xml:space="preserve">eq \o\ac(</w:instrText>
            </w:r>
            <w:r>
              <w:rPr>
                <w:rFonts w:hint="eastAsia" w:ascii="宋体" w:cs="Times New Roman"/>
                <w:position w:val="-4"/>
                <w:sz w:val="31"/>
              </w:rPr>
              <w:instrText xml:space="preserve">○</w:instrText>
            </w:r>
            <w:r>
              <w:rPr>
                <w:rFonts w:hint="eastAsia" w:cs="Times New Roman"/>
              </w:rPr>
              <w:instrText xml:space="preserve">,1)</w:instrText>
            </w:r>
            <w:r>
              <w:rPr>
                <w:rFonts w:cs="Times New Roman"/>
              </w:rPr>
              <w:fldChar w:fldCharType="end"/>
            </w:r>
          </w:p>
        </w:tc>
        <w:tc>
          <w:tcPr>
            <w:tcW w:w="782" w:type="dxa"/>
            <w:tcBorders>
              <w:right w:val="double" w:color="auto" w:sz="4" w:space="0"/>
            </w:tcBorders>
            <w:shd w:val="clear" w:color="auto" w:fill="auto"/>
            <w:vAlign w:val="center"/>
          </w:tcPr>
          <w:p w14:paraId="2E75878B">
            <w:pPr>
              <w:pStyle w:val="14"/>
              <w:rPr>
                <w:rFonts w:hint="eastAsia" w:ascii="宋体" w:hAnsi="宋体"/>
              </w:rPr>
            </w:pPr>
            <w:r>
              <w:rPr>
                <w:rFonts w:cs="Times New Roman"/>
              </w:rPr>
              <w:t>M</w:t>
            </w:r>
          </w:p>
        </w:tc>
        <w:tc>
          <w:tcPr>
            <w:tcW w:w="4775" w:type="dxa"/>
            <w:vAlign w:val="center"/>
          </w:tcPr>
          <w:p w14:paraId="6DDDA8D9">
            <w:pPr>
              <w:pStyle w:val="14"/>
              <w:jc w:val="left"/>
              <w:rPr>
                <w:rFonts w:hint="eastAsia" w:ascii="宋体" w:hAnsi="宋体"/>
                <w:bCs/>
              </w:rPr>
            </w:pPr>
            <w:r>
              <w:rPr>
                <w:rFonts w:cs="Times New Roman"/>
                <w:bCs/>
              </w:rPr>
              <w:t>3</w:t>
            </w:r>
            <w:r>
              <w:rPr>
                <w:rFonts w:hint="eastAsia" w:cs="Times New Roman"/>
                <w:bCs/>
              </w:rPr>
              <w:t>.</w:t>
            </w:r>
            <w:r>
              <w:rPr>
                <w:rFonts w:hint="eastAsia" w:ascii="宋体" w:hAnsi="宋体"/>
                <w:bCs/>
              </w:rPr>
              <w:t xml:space="preserve"> 能够运用数字化网络手段收集相关商务领域的各种数据和信息，从中选取有效资料为己所用，主动安排学习计划，完成自主实践任务。</w:t>
            </w:r>
          </w:p>
        </w:tc>
        <w:tc>
          <w:tcPr>
            <w:tcW w:w="1348" w:type="dxa"/>
            <w:tcBorders>
              <w:right w:val="single" w:color="auto" w:sz="12" w:space="0"/>
            </w:tcBorders>
            <w:vAlign w:val="center"/>
          </w:tcPr>
          <w:p w14:paraId="6BA3865D">
            <w:pPr>
              <w:pStyle w:val="14"/>
              <w:rPr>
                <w:rFonts w:hint="eastAsia" w:ascii="宋体" w:hAnsi="宋体"/>
                <w:bCs/>
              </w:rPr>
            </w:pPr>
            <w:r>
              <w:rPr>
                <w:rFonts w:ascii="宋体" w:hAnsi="宋体"/>
                <w:bCs/>
              </w:rPr>
              <w:t>10</w:t>
            </w:r>
            <w:r>
              <w:rPr>
                <w:rFonts w:hint="eastAsia" w:ascii="宋体" w:hAnsi="宋体"/>
                <w:bCs/>
              </w:rPr>
              <w:t>0</w:t>
            </w:r>
            <w:r>
              <w:rPr>
                <w:rFonts w:ascii="宋体" w:hAnsi="宋体"/>
                <w:bCs/>
              </w:rPr>
              <w:t>%</w:t>
            </w:r>
          </w:p>
        </w:tc>
      </w:tr>
      <w:tr w14:paraId="1C28B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vAlign w:val="center"/>
          </w:tcPr>
          <w:p w14:paraId="0D9BF1E1">
            <w:pPr>
              <w:pStyle w:val="14"/>
              <w:rPr>
                <w:rFonts w:cs="Times New Roman"/>
                <w:b/>
              </w:rPr>
            </w:pPr>
            <w:r>
              <w:rPr>
                <w:rFonts w:cs="Times New Roman"/>
                <w:b/>
              </w:rPr>
              <w:t>LO6</w:t>
            </w:r>
          </w:p>
        </w:tc>
        <w:tc>
          <w:tcPr>
            <w:tcW w:w="794" w:type="dxa"/>
            <w:tcBorders>
              <w:left w:val="single" w:color="auto" w:sz="4" w:space="0"/>
              <w:bottom w:val="single" w:color="auto" w:sz="12" w:space="0"/>
            </w:tcBorders>
            <w:vAlign w:val="center"/>
          </w:tcPr>
          <w:p w14:paraId="329AFCA3">
            <w:pPr>
              <w:pStyle w:val="14"/>
              <w:rPr>
                <w:rFonts w:cs="Times New Roman"/>
                <w:bCs/>
              </w:rPr>
            </w:pPr>
            <w:r>
              <w:rPr>
                <w:rFonts w:cs="Times New Roman"/>
                <w:bCs/>
              </w:rPr>
              <w:fldChar w:fldCharType="begin"/>
            </w:r>
            <w:r>
              <w:rPr>
                <w:rFonts w:cs="Times New Roman"/>
                <w:bCs/>
              </w:rPr>
              <w:instrText xml:space="preserve"> </w:instrText>
            </w:r>
            <w:r>
              <w:rPr>
                <w:rFonts w:hint="eastAsia" w:cs="Times New Roman"/>
                <w:bCs/>
              </w:rPr>
              <w:instrText xml:space="preserve">eq \o\ac(</w:instrText>
            </w:r>
            <w:r>
              <w:rPr>
                <w:rFonts w:hint="eastAsia" w:ascii="宋体" w:cs="Times New Roman"/>
                <w:bCs/>
                <w:position w:val="-4"/>
                <w:sz w:val="31"/>
              </w:rPr>
              <w:instrText xml:space="preserve">○</w:instrText>
            </w:r>
            <w:r>
              <w:rPr>
                <w:rFonts w:hint="eastAsia" w:cs="Times New Roman"/>
                <w:bCs/>
              </w:rPr>
              <w:instrText xml:space="preserve">,2)</w:instrText>
            </w:r>
            <w:r>
              <w:rPr>
                <w:rFonts w:cs="Times New Roman"/>
                <w:bCs/>
              </w:rPr>
              <w:fldChar w:fldCharType="end"/>
            </w:r>
          </w:p>
        </w:tc>
        <w:tc>
          <w:tcPr>
            <w:tcW w:w="782" w:type="dxa"/>
            <w:tcBorders>
              <w:bottom w:val="single" w:color="auto" w:sz="12" w:space="0"/>
              <w:right w:val="double" w:color="auto" w:sz="4" w:space="0"/>
            </w:tcBorders>
            <w:shd w:val="clear" w:color="auto" w:fill="auto"/>
            <w:vAlign w:val="center"/>
          </w:tcPr>
          <w:p w14:paraId="7EDAC005">
            <w:pPr>
              <w:pStyle w:val="14"/>
              <w:rPr>
                <w:rFonts w:hint="eastAsia" w:ascii="宋体" w:hAnsi="宋体"/>
              </w:rPr>
            </w:pPr>
            <w:r>
              <w:rPr>
                <w:rFonts w:cs="Times New Roman"/>
              </w:rPr>
              <w:t>L</w:t>
            </w:r>
          </w:p>
        </w:tc>
        <w:tc>
          <w:tcPr>
            <w:tcW w:w="4775" w:type="dxa"/>
            <w:tcBorders>
              <w:bottom w:val="single" w:color="auto" w:sz="12" w:space="0"/>
            </w:tcBorders>
            <w:vAlign w:val="center"/>
          </w:tcPr>
          <w:p w14:paraId="2905729C">
            <w:pPr>
              <w:pStyle w:val="14"/>
              <w:jc w:val="left"/>
              <w:rPr>
                <w:rFonts w:hint="eastAsia" w:ascii="宋体" w:hAnsi="宋体"/>
                <w:bCs/>
              </w:rPr>
            </w:pPr>
            <w:r>
              <w:rPr>
                <w:rFonts w:hint="eastAsia" w:ascii="宋体" w:hAnsi="宋体"/>
                <w:bCs/>
              </w:rPr>
              <w:t>4.</w:t>
            </w:r>
            <w:r>
              <w:rPr>
                <w:rFonts w:hint="eastAsia" w:cs="Times New Roman"/>
              </w:rPr>
              <w:t xml:space="preserve"> 能够积极参与社会实践，体验团队合作的精神，建立社会服务意识，提升思辩能力和解决实际问题的能力。</w:t>
            </w:r>
          </w:p>
        </w:tc>
        <w:tc>
          <w:tcPr>
            <w:tcW w:w="1348" w:type="dxa"/>
            <w:tcBorders>
              <w:bottom w:val="single" w:color="auto" w:sz="12" w:space="0"/>
              <w:right w:val="single" w:color="auto" w:sz="12" w:space="0"/>
            </w:tcBorders>
            <w:vAlign w:val="center"/>
          </w:tcPr>
          <w:p w14:paraId="510A88A3">
            <w:pPr>
              <w:pStyle w:val="14"/>
              <w:rPr>
                <w:rFonts w:hint="eastAsia" w:ascii="宋体" w:hAnsi="宋体"/>
                <w:bCs/>
              </w:rPr>
            </w:pPr>
            <w:r>
              <w:rPr>
                <w:rFonts w:ascii="宋体" w:hAnsi="宋体"/>
                <w:bCs/>
              </w:rPr>
              <w:t>100%</w:t>
            </w:r>
          </w:p>
        </w:tc>
      </w:tr>
    </w:tbl>
    <w:p w14:paraId="610F8F67">
      <w:pPr>
        <w:pStyle w:val="16"/>
        <w:spacing w:before="326" w:beforeLines="100" w:line="360" w:lineRule="auto"/>
        <w:rPr>
          <w:rFonts w:hint="eastAsia" w:ascii="黑体" w:hAnsi="宋体"/>
        </w:rPr>
      </w:pPr>
      <w:r>
        <w:rPr>
          <w:rFonts w:hint="eastAsia" w:ascii="黑体" w:hAnsi="宋体"/>
        </w:rPr>
        <w:t>三、</w:t>
      </w:r>
      <w:r>
        <w:rPr>
          <w:rFonts w:ascii="黑体" w:hAnsi="宋体"/>
        </w:rPr>
        <w:t>课程内容</w:t>
      </w:r>
      <w:r>
        <w:rPr>
          <w:rFonts w:hint="eastAsia" w:ascii="黑体" w:hAnsi="宋体"/>
        </w:rPr>
        <w:t>与教学设计</w:t>
      </w:r>
    </w:p>
    <w:p w14:paraId="2CFD3EBB">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76"/>
      </w:tblGrid>
      <w:tr w14:paraId="157A4FD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76" w:type="dxa"/>
          </w:tcPr>
          <w:p w14:paraId="0A5C5D62">
            <w:pPr>
              <w:pStyle w:val="14"/>
              <w:widowControl w:val="0"/>
              <w:jc w:val="left"/>
              <w:rPr>
                <w:rFonts w:cs="Times New Roman"/>
                <w:bCs/>
              </w:rPr>
            </w:pPr>
            <w:bookmarkStart w:id="0" w:name="OLE_LINK6"/>
            <w:bookmarkStart w:id="1" w:name="OLE_LINK5"/>
            <w:r>
              <w:rPr>
                <w:rFonts w:hint="eastAsia" w:ascii="宋体" w:hAnsi="宋体"/>
                <w:bCs/>
              </w:rPr>
              <w:t xml:space="preserve">第一单元 </w:t>
            </w:r>
            <w:r>
              <w:rPr>
                <w:rFonts w:cs="Times New Roman"/>
                <w:bCs/>
              </w:rPr>
              <w:t xml:space="preserve">Markets  </w:t>
            </w:r>
          </w:p>
          <w:p w14:paraId="14773D17">
            <w:pPr>
              <w:pStyle w:val="14"/>
              <w:widowControl w:val="0"/>
              <w:jc w:val="left"/>
              <w:rPr>
                <w:rFonts w:hint="eastAsia" w:ascii="宋体" w:hAnsi="宋体"/>
                <w:bCs/>
              </w:rPr>
            </w:pPr>
            <w:r>
              <w:rPr>
                <w:rFonts w:hint="eastAsia" w:ascii="宋体" w:hAnsi="宋体"/>
                <w:bCs/>
              </w:rPr>
              <w:t xml:space="preserve">知识点： </w:t>
            </w:r>
            <w:r>
              <w:rPr>
                <w:rFonts w:ascii="宋体" w:hAnsi="宋体"/>
                <w:bCs/>
              </w:rPr>
              <w:t xml:space="preserve"> </w:t>
            </w:r>
            <w:r>
              <w:rPr>
                <w:rFonts w:hint="eastAsia" w:ascii="宋体" w:hAnsi="宋体"/>
                <w:bCs/>
              </w:rPr>
              <w:t>掌握有关市场、交易或营销的商务知识概念和对应的英语术语及表达。</w:t>
            </w:r>
          </w:p>
          <w:p w14:paraId="3D6F4F95">
            <w:pPr>
              <w:pStyle w:val="14"/>
              <w:widowControl w:val="0"/>
              <w:jc w:val="left"/>
              <w:rPr>
                <w:rFonts w:hint="eastAsia" w:ascii="宋体" w:hAnsi="宋体"/>
                <w:bCs/>
              </w:rPr>
            </w:pPr>
            <w:r>
              <w:rPr>
                <w:rFonts w:hint="eastAsia" w:ascii="宋体" w:hAnsi="宋体"/>
                <w:bCs/>
              </w:rPr>
              <w:t>能力要求：理解市场与交易的相关概念，学会使用英语商谈一笔交易。</w:t>
            </w:r>
          </w:p>
          <w:p w14:paraId="724CD1C1">
            <w:pPr>
              <w:pStyle w:val="14"/>
              <w:widowControl w:val="0"/>
              <w:ind w:left="1365" w:hanging="1365" w:hangingChars="650"/>
              <w:jc w:val="left"/>
              <w:rPr>
                <w:rFonts w:hint="eastAsia" w:ascii="宋体" w:hAnsi="宋体"/>
                <w:bCs/>
              </w:rPr>
            </w:pPr>
            <w:r>
              <w:rPr>
                <w:rFonts w:hint="eastAsia" w:ascii="宋体" w:hAnsi="宋体"/>
                <w:bCs/>
              </w:rPr>
              <w:t>教学重点：1、掌握市场及营销相关的重要概念及其英语表达，了解‘b</w:t>
            </w:r>
            <w:r>
              <w:rPr>
                <w:rFonts w:ascii="宋体" w:hAnsi="宋体"/>
                <w:bCs/>
              </w:rPr>
              <w:t>uild business relationship</w:t>
            </w:r>
            <w:r>
              <w:rPr>
                <w:rFonts w:hint="eastAsia" w:ascii="宋体" w:hAnsi="宋体"/>
                <w:bCs/>
              </w:rPr>
              <w:t>’的重要性；</w:t>
            </w:r>
          </w:p>
          <w:p w14:paraId="77CDB4F2">
            <w:pPr>
              <w:pStyle w:val="14"/>
              <w:widowControl w:val="0"/>
              <w:ind w:left="1050" w:hanging="1050" w:hangingChars="500"/>
              <w:jc w:val="left"/>
              <w:rPr>
                <w:rFonts w:hint="eastAsia" w:ascii="宋体" w:hAnsi="宋体"/>
                <w:bCs/>
              </w:rPr>
            </w:pPr>
            <w:r>
              <w:rPr>
                <w:rFonts w:ascii="宋体" w:hAnsi="宋体"/>
                <w:bCs/>
              </w:rPr>
              <w:t xml:space="preserve">          2</w:t>
            </w:r>
            <w:r>
              <w:rPr>
                <w:rFonts w:hint="eastAsia" w:ascii="宋体" w:hAnsi="宋体"/>
                <w:bCs/>
              </w:rPr>
              <w:t>、通过“播报中国”课堂活动，了解中国最新经济发展动向；</w:t>
            </w:r>
          </w:p>
          <w:p w14:paraId="62D51E76">
            <w:pPr>
              <w:pStyle w:val="14"/>
              <w:widowControl w:val="0"/>
              <w:ind w:left="1050" w:hanging="1050" w:hangingChars="500"/>
              <w:jc w:val="left"/>
              <w:rPr>
                <w:rFonts w:hint="eastAsia" w:ascii="宋体" w:hAnsi="宋体"/>
                <w:bCs/>
              </w:rPr>
            </w:pPr>
            <w:r>
              <w:rPr>
                <w:rFonts w:hint="eastAsia" w:ascii="宋体" w:hAnsi="宋体"/>
                <w:bCs/>
              </w:rPr>
              <w:t xml:space="preserve"> </w:t>
            </w:r>
            <w:r>
              <w:rPr>
                <w:rFonts w:ascii="宋体" w:hAnsi="宋体"/>
                <w:bCs/>
              </w:rPr>
              <w:t xml:space="preserve">         3</w:t>
            </w:r>
            <w:r>
              <w:rPr>
                <w:rFonts w:hint="eastAsia" w:ascii="宋体" w:hAnsi="宋体"/>
                <w:bCs/>
              </w:rPr>
              <w:t>、鼓励在生活或工作中建立合作共赢意识，常怀感恩之心。</w:t>
            </w:r>
          </w:p>
          <w:p w14:paraId="0817D606">
            <w:pPr>
              <w:pStyle w:val="14"/>
              <w:widowControl w:val="0"/>
              <w:jc w:val="left"/>
              <w:rPr>
                <w:rFonts w:hint="eastAsia" w:ascii="仿宋" w:hAnsi="仿宋" w:eastAsia="仿宋" w:cs="仿宋"/>
              </w:rPr>
            </w:pPr>
            <w:r>
              <w:rPr>
                <w:rFonts w:hint="eastAsia" w:ascii="宋体" w:hAnsi="宋体"/>
                <w:bCs/>
              </w:rPr>
              <w:t>教学难点：使用英语商谈交易的正确表达。</w:t>
            </w:r>
          </w:p>
        </w:tc>
      </w:tr>
      <w:tr w14:paraId="15D8079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76" w:type="dxa"/>
          </w:tcPr>
          <w:p w14:paraId="1056A728">
            <w:pPr>
              <w:pStyle w:val="14"/>
              <w:widowControl w:val="0"/>
              <w:jc w:val="left"/>
              <w:rPr>
                <w:rFonts w:cs="Times New Roman"/>
              </w:rPr>
            </w:pPr>
            <w:r>
              <w:rPr>
                <w:rFonts w:hint="eastAsia" w:ascii="宋体" w:hAnsi="宋体"/>
              </w:rPr>
              <w:t>第二单元</w:t>
            </w:r>
            <w:r>
              <w:rPr>
                <w:rFonts w:cs="Times New Roman"/>
              </w:rPr>
              <w:t xml:space="preserve"> Brands</w:t>
            </w:r>
          </w:p>
          <w:p w14:paraId="67576326">
            <w:pPr>
              <w:pStyle w:val="14"/>
              <w:widowControl w:val="0"/>
              <w:jc w:val="left"/>
              <w:rPr>
                <w:rFonts w:hint="eastAsia" w:ascii="宋体" w:hAnsi="宋体"/>
              </w:rPr>
            </w:pPr>
            <w:r>
              <w:rPr>
                <w:rFonts w:hint="eastAsia" w:ascii="宋体" w:hAnsi="宋体"/>
              </w:rPr>
              <w:t xml:space="preserve">知识点： </w:t>
            </w:r>
            <w:r>
              <w:rPr>
                <w:rFonts w:ascii="宋体" w:hAnsi="宋体"/>
              </w:rPr>
              <w:t xml:space="preserve"> </w:t>
            </w:r>
            <w:r>
              <w:rPr>
                <w:rFonts w:hint="eastAsia" w:ascii="宋体" w:hAnsi="宋体"/>
              </w:rPr>
              <w:t>掌握有关商业品牌及品牌管理的知识概念和对应的英语术语及表达。</w:t>
            </w:r>
          </w:p>
          <w:p w14:paraId="1E839CCC">
            <w:pPr>
              <w:pStyle w:val="14"/>
              <w:widowControl w:val="0"/>
              <w:jc w:val="left"/>
              <w:rPr>
                <w:rFonts w:hint="eastAsia" w:ascii="宋体" w:hAnsi="宋体"/>
              </w:rPr>
            </w:pPr>
            <w:r>
              <w:rPr>
                <w:rFonts w:hint="eastAsia" w:ascii="宋体" w:hAnsi="宋体"/>
              </w:rPr>
              <w:t>能力要求：了解</w:t>
            </w:r>
            <w:r>
              <w:rPr>
                <w:rFonts w:hint="eastAsia"/>
              </w:rPr>
              <w:t>商业品牌管理相关知识；了解社会，学会在工作中与人相处</w:t>
            </w:r>
            <w:r>
              <w:rPr>
                <w:rFonts w:hint="eastAsia" w:ascii="宋体" w:hAnsi="宋体"/>
              </w:rPr>
              <w:t>。</w:t>
            </w:r>
          </w:p>
          <w:p w14:paraId="3A22F87B">
            <w:pPr>
              <w:pStyle w:val="14"/>
              <w:widowControl w:val="0"/>
              <w:jc w:val="left"/>
              <w:rPr>
                <w:rFonts w:hint="eastAsia" w:ascii="宋体" w:hAnsi="宋体"/>
              </w:rPr>
            </w:pPr>
            <w:r>
              <w:rPr>
                <w:rFonts w:hint="eastAsia" w:ascii="宋体" w:hAnsi="宋体"/>
              </w:rPr>
              <w:t>教学重点：1、掌握商业品牌管理相关的重要概念及策略的英语表达；</w:t>
            </w:r>
          </w:p>
          <w:p w14:paraId="6E4F520A">
            <w:pPr>
              <w:pStyle w:val="14"/>
              <w:widowControl w:val="0"/>
              <w:jc w:val="left"/>
              <w:rPr>
                <w:rFonts w:hint="eastAsia" w:ascii="宋体" w:hAnsi="宋体"/>
                <w:bCs/>
              </w:rPr>
            </w:pPr>
            <w:r>
              <w:rPr>
                <w:rFonts w:hint="eastAsia" w:ascii="宋体" w:hAnsi="宋体"/>
              </w:rPr>
              <w:t xml:space="preserve"> </w:t>
            </w:r>
            <w:r>
              <w:rPr>
                <w:rFonts w:ascii="宋体" w:hAnsi="宋体"/>
              </w:rPr>
              <w:t xml:space="preserve">         2</w:t>
            </w:r>
            <w:r>
              <w:rPr>
                <w:rFonts w:hint="eastAsia" w:ascii="宋体" w:hAnsi="宋体"/>
              </w:rPr>
              <w:t>、</w:t>
            </w:r>
            <w:r>
              <w:rPr>
                <w:rFonts w:hint="eastAsia" w:ascii="宋体" w:hAnsi="宋体"/>
                <w:bCs/>
              </w:rPr>
              <w:t>通过“播报中国”课堂活动，了解中国最新经济发展动向；</w:t>
            </w:r>
          </w:p>
          <w:p w14:paraId="345FCCB1">
            <w:pPr>
              <w:pStyle w:val="14"/>
              <w:widowControl w:val="0"/>
              <w:jc w:val="left"/>
              <w:rPr>
                <w:rFonts w:hint="eastAsia" w:ascii="宋体" w:hAnsi="宋体"/>
              </w:rPr>
            </w:pPr>
            <w:r>
              <w:rPr>
                <w:rFonts w:hint="eastAsia" w:ascii="宋体" w:hAnsi="宋体"/>
                <w:bCs/>
              </w:rPr>
              <w:t xml:space="preserve"> </w:t>
            </w:r>
            <w:r>
              <w:rPr>
                <w:rFonts w:ascii="宋体" w:hAnsi="宋体"/>
                <w:bCs/>
              </w:rPr>
              <w:t xml:space="preserve">         3</w:t>
            </w:r>
            <w:r>
              <w:rPr>
                <w:rFonts w:hint="eastAsia" w:ascii="宋体" w:hAnsi="宋体"/>
                <w:bCs/>
              </w:rPr>
              <w:t>、培养服务他人、服务企业、服务社会的意愿和行为能力。</w:t>
            </w:r>
          </w:p>
          <w:p w14:paraId="6AA34D44">
            <w:pPr>
              <w:pStyle w:val="14"/>
              <w:widowControl w:val="0"/>
              <w:jc w:val="left"/>
              <w:rPr>
                <w:rFonts w:hint="eastAsia" w:ascii="仿宋" w:hAnsi="仿宋" w:eastAsia="仿宋" w:cs="仿宋"/>
              </w:rPr>
            </w:pPr>
            <w:r>
              <w:rPr>
                <w:rFonts w:hint="eastAsia" w:ascii="宋体" w:hAnsi="宋体"/>
              </w:rPr>
              <w:t>教学难点：如何用合适的语言表达技巧建立工作环境中的良好人际关系。</w:t>
            </w:r>
            <w:r>
              <w:rPr>
                <w:rFonts w:ascii="仿宋" w:hAnsi="仿宋" w:eastAsia="仿宋" w:cs="仿宋"/>
              </w:rPr>
              <w:t xml:space="preserve"> </w:t>
            </w:r>
          </w:p>
        </w:tc>
      </w:tr>
      <w:tr w14:paraId="6263D92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76" w:type="dxa"/>
          </w:tcPr>
          <w:p w14:paraId="1BA7F630">
            <w:pPr>
              <w:pStyle w:val="14"/>
              <w:widowControl w:val="0"/>
              <w:jc w:val="left"/>
              <w:rPr>
                <w:rFonts w:cs="Times New Roman"/>
              </w:rPr>
            </w:pPr>
            <w:r>
              <w:rPr>
                <w:rFonts w:hint="eastAsia" w:ascii="宋体" w:hAnsi="宋体"/>
              </w:rPr>
              <w:t xml:space="preserve">第三单元 </w:t>
            </w:r>
            <w:r>
              <w:t>Communication</w:t>
            </w:r>
          </w:p>
          <w:p w14:paraId="159C4A1C">
            <w:pPr>
              <w:pStyle w:val="14"/>
              <w:widowControl w:val="0"/>
              <w:ind w:left="1050" w:hanging="1050" w:hangingChars="500"/>
              <w:jc w:val="left"/>
              <w:rPr>
                <w:rFonts w:hint="eastAsia" w:ascii="宋体" w:hAnsi="宋体"/>
              </w:rPr>
            </w:pPr>
            <w:r>
              <w:rPr>
                <w:rFonts w:hint="eastAsia" w:ascii="宋体" w:hAnsi="宋体"/>
              </w:rPr>
              <w:t xml:space="preserve">知识点： </w:t>
            </w:r>
            <w:r>
              <w:rPr>
                <w:rFonts w:ascii="宋体" w:hAnsi="宋体"/>
              </w:rPr>
              <w:t xml:space="preserve"> </w:t>
            </w:r>
            <w:r>
              <w:rPr>
                <w:rFonts w:hint="eastAsia" w:ascii="宋体" w:hAnsi="宋体"/>
              </w:rPr>
              <w:t>了解英语公函、备忘录、电邮、会议纪要、语音信箱、简报、社交网站等各种商务沟通及信息交流的方式，以及这些交流方式的作用、写作格式和语言特点。</w:t>
            </w:r>
          </w:p>
          <w:p w14:paraId="27D3D044">
            <w:pPr>
              <w:pStyle w:val="14"/>
              <w:widowControl w:val="0"/>
              <w:jc w:val="left"/>
              <w:rPr>
                <w:rFonts w:hint="eastAsia" w:ascii="宋体" w:hAnsi="宋体"/>
              </w:rPr>
            </w:pPr>
            <w:r>
              <w:rPr>
                <w:rFonts w:hint="eastAsia" w:ascii="宋体" w:hAnsi="宋体"/>
              </w:rPr>
              <w:t>能力要求：能运用正确的英语语言及格式处理各类常用商务函件和公文。</w:t>
            </w:r>
          </w:p>
          <w:p w14:paraId="03E98E1C">
            <w:pPr>
              <w:pStyle w:val="14"/>
              <w:widowControl w:val="0"/>
              <w:ind w:left="1365" w:hanging="1365" w:hangingChars="650"/>
              <w:jc w:val="left"/>
              <w:rPr>
                <w:rFonts w:hint="eastAsia" w:ascii="宋体" w:hAnsi="宋体"/>
              </w:rPr>
            </w:pPr>
            <w:r>
              <w:rPr>
                <w:rFonts w:hint="eastAsia" w:ascii="宋体" w:hAnsi="宋体"/>
              </w:rPr>
              <w:t>教学重点：1、了解工作电邮、会议纪要、简报等常用商务英语应用文的作用、格式及语言特点；</w:t>
            </w:r>
          </w:p>
          <w:p w14:paraId="4EF49718">
            <w:pPr>
              <w:pStyle w:val="14"/>
              <w:widowControl w:val="0"/>
              <w:jc w:val="left"/>
              <w:rPr>
                <w:rFonts w:hint="eastAsia" w:ascii="宋体" w:hAnsi="宋体"/>
              </w:rPr>
            </w:pPr>
            <w:r>
              <w:rPr>
                <w:rFonts w:hint="eastAsia" w:ascii="宋体" w:hAnsi="宋体"/>
              </w:rPr>
              <w:t xml:space="preserve"> </w:t>
            </w:r>
            <w:r>
              <w:rPr>
                <w:rFonts w:ascii="宋体" w:hAnsi="宋体"/>
              </w:rPr>
              <w:t xml:space="preserve">         2</w:t>
            </w:r>
            <w:r>
              <w:rPr>
                <w:rFonts w:hint="eastAsia" w:ascii="宋体" w:hAnsi="宋体"/>
              </w:rPr>
              <w:t>、通过“播报中国”课堂活动，了解中国最新经济发展动向；</w:t>
            </w:r>
          </w:p>
          <w:p w14:paraId="5B826F93">
            <w:pPr>
              <w:pStyle w:val="14"/>
              <w:widowControl w:val="0"/>
              <w:jc w:val="left"/>
              <w:rPr>
                <w:rFonts w:hint="eastAsia" w:ascii="宋体" w:hAnsi="宋体"/>
              </w:rPr>
            </w:pPr>
            <w:r>
              <w:rPr>
                <w:rFonts w:hint="eastAsia" w:ascii="宋体" w:hAnsi="宋体"/>
              </w:rPr>
              <w:t xml:space="preserve"> </w:t>
            </w:r>
            <w:r>
              <w:rPr>
                <w:rFonts w:ascii="宋体" w:hAnsi="宋体"/>
              </w:rPr>
              <w:t xml:space="preserve">         3</w:t>
            </w:r>
            <w:r>
              <w:rPr>
                <w:rFonts w:hint="eastAsia" w:ascii="宋体" w:hAnsi="宋体"/>
              </w:rPr>
              <w:t>、鼓励学生在学习和工作中要懂得关心他人，帮助他人。</w:t>
            </w:r>
          </w:p>
          <w:p w14:paraId="31FD6DA3">
            <w:pPr>
              <w:pStyle w:val="14"/>
              <w:widowControl w:val="0"/>
              <w:jc w:val="left"/>
              <w:rPr>
                <w:rFonts w:hint="eastAsia" w:ascii="宋体" w:hAnsi="宋体"/>
              </w:rPr>
            </w:pPr>
            <w:r>
              <w:rPr>
                <w:rFonts w:hint="eastAsia" w:ascii="宋体" w:hAnsi="宋体"/>
              </w:rPr>
              <w:t>教学难点：如何写出一份合格的英文商务函件或公文。</w:t>
            </w:r>
          </w:p>
        </w:tc>
      </w:tr>
      <w:tr w14:paraId="41731B4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76" w:type="dxa"/>
          </w:tcPr>
          <w:p w14:paraId="2B8ED6A8">
            <w:pPr>
              <w:pStyle w:val="14"/>
              <w:widowControl w:val="0"/>
              <w:jc w:val="left"/>
              <w:rPr>
                <w:rFonts w:hint="eastAsia" w:ascii="宋体" w:hAnsi="宋体"/>
              </w:rPr>
            </w:pPr>
            <w:r>
              <w:rPr>
                <w:rFonts w:hint="eastAsia" w:ascii="宋体" w:hAnsi="宋体"/>
              </w:rPr>
              <w:t xml:space="preserve">第四单元 </w:t>
            </w:r>
            <w:r>
              <w:rPr>
                <w:rFonts w:cs="Times New Roman"/>
              </w:rPr>
              <w:t>Logistics</w:t>
            </w:r>
          </w:p>
          <w:p w14:paraId="21CDBFED">
            <w:pPr>
              <w:pStyle w:val="14"/>
              <w:widowControl w:val="0"/>
              <w:jc w:val="left"/>
              <w:rPr>
                <w:rFonts w:hint="eastAsia" w:ascii="宋体" w:hAnsi="宋体"/>
              </w:rPr>
            </w:pPr>
            <w:r>
              <w:rPr>
                <w:rFonts w:hint="eastAsia" w:ascii="宋体" w:hAnsi="宋体"/>
              </w:rPr>
              <w:t>知识点： 了解商业活动中有关物流的知识概念及其对应的英语术语和表达。</w:t>
            </w:r>
          </w:p>
          <w:p w14:paraId="6D48B937">
            <w:pPr>
              <w:pStyle w:val="14"/>
              <w:widowControl w:val="0"/>
              <w:ind w:left="1050" w:hanging="1050" w:hangingChars="500"/>
              <w:jc w:val="left"/>
              <w:rPr>
                <w:rFonts w:hint="eastAsia" w:ascii="宋体" w:hAnsi="宋体"/>
              </w:rPr>
            </w:pPr>
            <w:r>
              <w:rPr>
                <w:rFonts w:hint="eastAsia" w:ascii="宋体" w:hAnsi="宋体"/>
              </w:rPr>
              <w:t>能力要求：理解国际商务多元文化的工作环境下物流业的发展；培养跨文化交流及理解本地职场文化的能力。</w:t>
            </w:r>
          </w:p>
          <w:p w14:paraId="19F6762F">
            <w:pPr>
              <w:pStyle w:val="14"/>
              <w:widowControl w:val="0"/>
              <w:jc w:val="left"/>
              <w:rPr>
                <w:rFonts w:hint="eastAsia" w:ascii="宋体" w:hAnsi="宋体"/>
              </w:rPr>
            </w:pPr>
            <w:r>
              <w:rPr>
                <w:rFonts w:hint="eastAsia" w:ascii="宋体" w:hAnsi="宋体"/>
              </w:rPr>
              <w:t>教学重点：1、了解国际商务活动中物流相关的知识；</w:t>
            </w:r>
          </w:p>
          <w:p w14:paraId="661298A6">
            <w:pPr>
              <w:pStyle w:val="14"/>
              <w:widowControl w:val="0"/>
              <w:jc w:val="left"/>
              <w:rPr>
                <w:rFonts w:hint="eastAsia" w:ascii="宋体" w:hAnsi="宋体"/>
              </w:rPr>
            </w:pPr>
            <w:r>
              <w:rPr>
                <w:rFonts w:hint="eastAsia" w:ascii="宋体" w:hAnsi="宋体"/>
              </w:rPr>
              <w:t xml:space="preserve"> </w:t>
            </w:r>
            <w:r>
              <w:rPr>
                <w:rFonts w:ascii="宋体" w:hAnsi="宋体"/>
              </w:rPr>
              <w:t xml:space="preserve">         2</w:t>
            </w:r>
            <w:r>
              <w:rPr>
                <w:rFonts w:hint="eastAsia" w:ascii="宋体" w:hAnsi="宋体"/>
              </w:rPr>
              <w:t>、通过“播报中国”课堂活动，了解中国最新经济发展动向；</w:t>
            </w:r>
          </w:p>
          <w:p w14:paraId="49B55876">
            <w:pPr>
              <w:pStyle w:val="14"/>
              <w:widowControl w:val="0"/>
              <w:jc w:val="left"/>
              <w:rPr>
                <w:rFonts w:hint="eastAsia" w:ascii="宋体" w:hAnsi="宋体"/>
              </w:rPr>
            </w:pPr>
            <w:r>
              <w:rPr>
                <w:rFonts w:hint="eastAsia" w:ascii="宋体" w:hAnsi="宋体"/>
              </w:rPr>
              <w:t xml:space="preserve"> </w:t>
            </w:r>
            <w:r>
              <w:rPr>
                <w:rFonts w:ascii="宋体" w:hAnsi="宋体"/>
              </w:rPr>
              <w:t xml:space="preserve">         3</w:t>
            </w:r>
            <w:r>
              <w:rPr>
                <w:rFonts w:hint="eastAsia" w:ascii="宋体" w:hAnsi="宋体"/>
              </w:rPr>
              <w:t>、了解中国特色社会主义经济的改革与发展道路，坚定文化自信。</w:t>
            </w:r>
          </w:p>
          <w:p w14:paraId="1F209EA6">
            <w:pPr>
              <w:pStyle w:val="14"/>
              <w:widowControl w:val="0"/>
              <w:jc w:val="left"/>
              <w:rPr>
                <w:rFonts w:hint="eastAsia" w:ascii="宋体" w:hAnsi="宋体"/>
              </w:rPr>
            </w:pPr>
            <w:r>
              <w:rPr>
                <w:rFonts w:hint="eastAsia" w:ascii="宋体" w:hAnsi="宋体"/>
              </w:rPr>
              <w:t>教学难点：掌握商务环境中用英语回答提问的技巧。</w:t>
            </w:r>
          </w:p>
        </w:tc>
      </w:tr>
      <w:tr w14:paraId="776CBB9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76" w:type="dxa"/>
          </w:tcPr>
          <w:p w14:paraId="77EA2584">
            <w:pPr>
              <w:pStyle w:val="14"/>
              <w:widowControl w:val="0"/>
              <w:jc w:val="left"/>
              <w:rPr>
                <w:rFonts w:cs="Times New Roman"/>
              </w:rPr>
            </w:pPr>
            <w:r>
              <w:rPr>
                <w:rFonts w:hint="eastAsia" w:ascii="宋体" w:hAnsi="宋体"/>
              </w:rPr>
              <w:t xml:space="preserve">第五单元 </w:t>
            </w:r>
            <w:r>
              <w:rPr>
                <w:rFonts w:cs="Times New Roman"/>
              </w:rPr>
              <w:t>Innovation</w:t>
            </w:r>
          </w:p>
          <w:p w14:paraId="6CAE3807">
            <w:pPr>
              <w:pStyle w:val="14"/>
              <w:widowControl w:val="0"/>
              <w:ind w:left="1050" w:hanging="1050" w:hangingChars="500"/>
              <w:jc w:val="left"/>
              <w:rPr>
                <w:rFonts w:hint="eastAsia" w:ascii="宋体" w:hAnsi="宋体"/>
              </w:rPr>
            </w:pPr>
            <w:r>
              <w:rPr>
                <w:rFonts w:hint="eastAsia" w:ascii="宋体" w:hAnsi="宋体"/>
              </w:rPr>
              <w:t>知识点： 了解商业创新的定义及其对商业发展的重要性；运用英语表达对别人业绩的肯定。</w:t>
            </w:r>
          </w:p>
          <w:p w14:paraId="72A86724">
            <w:pPr>
              <w:pStyle w:val="14"/>
              <w:widowControl w:val="0"/>
              <w:ind w:left="1050" w:hanging="1050" w:hangingChars="500"/>
              <w:jc w:val="left"/>
              <w:rPr>
                <w:rFonts w:hint="eastAsia" w:ascii="宋体" w:hAnsi="宋体"/>
              </w:rPr>
            </w:pPr>
            <w:r>
              <w:rPr>
                <w:rFonts w:hint="eastAsia" w:ascii="宋体" w:hAnsi="宋体"/>
              </w:rPr>
              <w:t>能力要求：</w:t>
            </w:r>
            <w:r>
              <w:rPr>
                <w:rFonts w:hint="eastAsia"/>
              </w:rPr>
              <w:t>理解商业活动中创新的方式及重要作用；能用正确的英语表达对别人工作业绩的评价。</w:t>
            </w:r>
          </w:p>
          <w:p w14:paraId="311FD036">
            <w:pPr>
              <w:pStyle w:val="14"/>
              <w:widowControl w:val="0"/>
              <w:jc w:val="left"/>
              <w:rPr>
                <w:rFonts w:hint="eastAsia" w:ascii="宋体" w:hAnsi="宋体"/>
              </w:rPr>
            </w:pPr>
            <w:r>
              <w:rPr>
                <w:rFonts w:hint="eastAsia" w:ascii="宋体" w:hAnsi="宋体"/>
              </w:rPr>
              <w:t>教学重点：1、了解商业创新的方式及其重要性；业绩评估的常用英语表达；</w:t>
            </w:r>
          </w:p>
          <w:p w14:paraId="4189C0FF">
            <w:pPr>
              <w:pStyle w:val="14"/>
              <w:widowControl w:val="0"/>
              <w:ind w:firstLine="1050" w:firstLineChars="500"/>
              <w:jc w:val="left"/>
              <w:rPr>
                <w:rFonts w:hint="eastAsia" w:ascii="宋体" w:hAnsi="宋体"/>
              </w:rPr>
            </w:pPr>
            <w:r>
              <w:rPr>
                <w:rFonts w:ascii="宋体" w:hAnsi="宋体"/>
              </w:rPr>
              <w:t>2</w:t>
            </w:r>
            <w:r>
              <w:rPr>
                <w:rFonts w:hint="eastAsia" w:ascii="宋体" w:hAnsi="宋体"/>
              </w:rPr>
              <w:t>、通过“播报中国”课堂活动，了解中国最新经济发展动向；</w:t>
            </w:r>
          </w:p>
          <w:p w14:paraId="5F1A85FD">
            <w:pPr>
              <w:pStyle w:val="14"/>
              <w:widowControl w:val="0"/>
              <w:ind w:firstLine="1050" w:firstLineChars="500"/>
              <w:jc w:val="left"/>
              <w:rPr>
                <w:rFonts w:hint="eastAsia" w:ascii="宋体" w:hAnsi="宋体"/>
              </w:rPr>
            </w:pPr>
            <w:r>
              <w:rPr>
                <w:rFonts w:hint="eastAsia" w:ascii="宋体" w:hAnsi="宋体"/>
              </w:rPr>
              <w:t>3、鼓励学生在自身职业的选择和发展中要有大局观和长远的眼光和目标。</w:t>
            </w:r>
          </w:p>
          <w:p w14:paraId="5CBDC649">
            <w:pPr>
              <w:pStyle w:val="14"/>
              <w:widowControl w:val="0"/>
              <w:jc w:val="left"/>
              <w:rPr>
                <w:rFonts w:hint="eastAsia" w:ascii="宋体" w:hAnsi="宋体"/>
              </w:rPr>
            </w:pPr>
            <w:r>
              <w:rPr>
                <w:rFonts w:hint="eastAsia" w:ascii="宋体" w:hAnsi="宋体"/>
              </w:rPr>
              <w:t>教学难点：知道如何评价别人业绩的语言表达技巧。</w:t>
            </w:r>
          </w:p>
        </w:tc>
      </w:tr>
      <w:tr w14:paraId="38C4295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76" w:type="dxa"/>
          </w:tcPr>
          <w:p w14:paraId="6F0E6971">
            <w:pPr>
              <w:pStyle w:val="14"/>
              <w:widowControl w:val="0"/>
              <w:jc w:val="left"/>
              <w:rPr>
                <w:rFonts w:cs="Times New Roman"/>
              </w:rPr>
            </w:pPr>
            <w:r>
              <w:rPr>
                <w:rFonts w:hint="eastAsia" w:ascii="宋体" w:hAnsi="宋体"/>
              </w:rPr>
              <w:t xml:space="preserve">第六单元 </w:t>
            </w:r>
            <w:r>
              <w:rPr>
                <w:rFonts w:cs="Times New Roman"/>
              </w:rPr>
              <w:t xml:space="preserve"> P</w:t>
            </w:r>
            <w:r>
              <w:rPr>
                <w:rFonts w:hint="eastAsia" w:cs="Times New Roman"/>
              </w:rPr>
              <w:t>ro</w:t>
            </w:r>
            <w:r>
              <w:rPr>
                <w:rFonts w:cs="Times New Roman"/>
              </w:rPr>
              <w:t>jects</w:t>
            </w:r>
          </w:p>
          <w:p w14:paraId="16F00006">
            <w:pPr>
              <w:pStyle w:val="14"/>
              <w:widowControl w:val="0"/>
              <w:jc w:val="left"/>
              <w:rPr>
                <w:rFonts w:hint="eastAsia" w:ascii="宋体" w:hAnsi="宋体"/>
              </w:rPr>
            </w:pPr>
            <w:r>
              <w:rPr>
                <w:rFonts w:hint="eastAsia" w:ascii="宋体" w:hAnsi="宋体"/>
              </w:rPr>
              <w:t>知识点： 了解商业运营中项目管理相关的基本知识及其对应的英语术语和表达。</w:t>
            </w:r>
            <w:r>
              <w:rPr>
                <w:rFonts w:ascii="宋体" w:hAnsi="宋体"/>
              </w:rPr>
              <w:t xml:space="preserve"> </w:t>
            </w:r>
          </w:p>
          <w:p w14:paraId="103DB648">
            <w:pPr>
              <w:pStyle w:val="14"/>
              <w:widowControl w:val="0"/>
              <w:ind w:left="1050" w:hanging="1050" w:hangingChars="500"/>
              <w:jc w:val="left"/>
              <w:rPr>
                <w:rFonts w:hint="eastAsia" w:ascii="宋体" w:hAnsi="宋体"/>
              </w:rPr>
            </w:pPr>
            <w:r>
              <w:rPr>
                <w:rFonts w:hint="eastAsia" w:ascii="宋体" w:hAnsi="宋体"/>
              </w:rPr>
              <w:t>能力要求：知道项目管理在商业运营中的作用及其基本流程；掌握设定项目管理计划目标的英语表达。</w:t>
            </w:r>
          </w:p>
          <w:p w14:paraId="2A86A24D">
            <w:pPr>
              <w:pStyle w:val="14"/>
              <w:widowControl w:val="0"/>
              <w:ind w:left="1470" w:hanging="1470" w:hangingChars="700"/>
              <w:jc w:val="left"/>
              <w:rPr>
                <w:rFonts w:hint="eastAsia" w:ascii="宋体" w:hAnsi="宋体"/>
              </w:rPr>
            </w:pPr>
            <w:r>
              <w:rPr>
                <w:rFonts w:hint="eastAsia" w:ascii="宋体" w:hAnsi="宋体"/>
              </w:rPr>
              <w:t>教学重点：1、了解项目管理在商业运营中的作用及其基本流程；掌握相关的英语表达。</w:t>
            </w:r>
          </w:p>
          <w:p w14:paraId="0FD49139">
            <w:pPr>
              <w:pStyle w:val="14"/>
              <w:widowControl w:val="0"/>
              <w:jc w:val="left"/>
              <w:rPr>
                <w:rFonts w:hint="eastAsia" w:ascii="宋体" w:hAnsi="宋体"/>
              </w:rPr>
            </w:pPr>
            <w:r>
              <w:rPr>
                <w:rFonts w:hint="eastAsia" w:ascii="宋体" w:hAnsi="宋体"/>
              </w:rPr>
              <w:t xml:space="preserve"> </w:t>
            </w:r>
            <w:r>
              <w:rPr>
                <w:rFonts w:ascii="宋体" w:hAnsi="宋体"/>
              </w:rPr>
              <w:t xml:space="preserve">         2</w:t>
            </w:r>
            <w:r>
              <w:rPr>
                <w:rFonts w:hint="eastAsia" w:ascii="宋体" w:hAnsi="宋体"/>
              </w:rPr>
              <w:t>、通过“播报中国”课堂活动，了解中国最新经济发展动向；</w:t>
            </w:r>
          </w:p>
          <w:p w14:paraId="1A48164E">
            <w:pPr>
              <w:pStyle w:val="14"/>
              <w:widowControl w:val="0"/>
              <w:jc w:val="left"/>
              <w:rPr>
                <w:rFonts w:hint="eastAsia" w:ascii="宋体" w:hAnsi="宋体"/>
              </w:rPr>
            </w:pPr>
            <w:r>
              <w:rPr>
                <w:rFonts w:hint="eastAsia" w:ascii="宋体" w:hAnsi="宋体"/>
              </w:rPr>
              <w:t xml:space="preserve"> </w:t>
            </w:r>
            <w:r>
              <w:rPr>
                <w:rFonts w:ascii="宋体" w:hAnsi="宋体"/>
              </w:rPr>
              <w:t xml:space="preserve">         3</w:t>
            </w:r>
            <w:r>
              <w:rPr>
                <w:rFonts w:hint="eastAsia" w:ascii="宋体" w:hAnsi="宋体"/>
              </w:rPr>
              <w:t>、懂得日常生活及学习中时间管理的重要性。</w:t>
            </w:r>
          </w:p>
          <w:p w14:paraId="0A0D3C04">
            <w:pPr>
              <w:pStyle w:val="14"/>
              <w:widowControl w:val="0"/>
              <w:jc w:val="left"/>
              <w:rPr>
                <w:rFonts w:hint="eastAsia" w:ascii="宋体" w:hAnsi="宋体"/>
              </w:rPr>
            </w:pPr>
            <w:r>
              <w:rPr>
                <w:rFonts w:hint="eastAsia" w:ascii="宋体" w:hAnsi="宋体"/>
              </w:rPr>
              <w:t>教学难点：理解完成项目管理流程的复杂性，掌握项目管理相关的常见英文术语。</w:t>
            </w:r>
          </w:p>
        </w:tc>
      </w:tr>
      <w:tr w14:paraId="5E9FDD8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76" w:type="dxa"/>
          </w:tcPr>
          <w:p w14:paraId="512378F5">
            <w:pPr>
              <w:pStyle w:val="14"/>
              <w:widowControl w:val="0"/>
              <w:jc w:val="left"/>
              <w:rPr>
                <w:rFonts w:cs="Times New Roman"/>
              </w:rPr>
            </w:pPr>
            <w:r>
              <w:rPr>
                <w:rFonts w:hint="eastAsia" w:ascii="宋体" w:hAnsi="宋体"/>
              </w:rPr>
              <w:t xml:space="preserve">第七单元  </w:t>
            </w:r>
            <w:r>
              <w:rPr>
                <w:rFonts w:cs="Times New Roman"/>
              </w:rPr>
              <w:t>Technology</w:t>
            </w:r>
          </w:p>
          <w:p w14:paraId="58E441B8">
            <w:pPr>
              <w:pStyle w:val="14"/>
              <w:widowControl w:val="0"/>
              <w:ind w:left="1050" w:hanging="1050" w:hangingChars="500"/>
              <w:jc w:val="left"/>
              <w:rPr>
                <w:rFonts w:hint="eastAsia" w:ascii="宋体" w:hAnsi="宋体"/>
              </w:rPr>
            </w:pPr>
            <w:r>
              <w:rPr>
                <w:rFonts w:hint="eastAsia" w:ascii="宋体" w:hAnsi="宋体"/>
              </w:rPr>
              <w:t xml:space="preserve">知识点： </w:t>
            </w:r>
            <w:r>
              <w:rPr>
                <w:rFonts w:ascii="宋体" w:hAnsi="宋体"/>
              </w:rPr>
              <w:t xml:space="preserve"> </w:t>
            </w:r>
            <w:r>
              <w:rPr>
                <w:rFonts w:hint="eastAsia" w:ascii="宋体" w:hAnsi="宋体"/>
              </w:rPr>
              <w:t>了解数字化信息时代人工智能等新技术对商业领域的重大影响及促进商业发展的方面；掌握运用英语进行商务沟通中“B</w:t>
            </w:r>
            <w:r>
              <w:rPr>
                <w:rFonts w:ascii="宋体" w:hAnsi="宋体"/>
              </w:rPr>
              <w:t>riefing</w:t>
            </w:r>
            <w:r>
              <w:rPr>
                <w:rFonts w:hint="eastAsia" w:ascii="宋体" w:hAnsi="宋体"/>
              </w:rPr>
              <w:t>”(简报、简会)的表达方式。</w:t>
            </w:r>
            <w:r>
              <w:rPr>
                <w:rFonts w:ascii="宋体" w:hAnsi="宋体"/>
              </w:rPr>
              <w:t xml:space="preserve"> </w:t>
            </w:r>
          </w:p>
          <w:p w14:paraId="47BA0D34">
            <w:pPr>
              <w:pStyle w:val="14"/>
              <w:widowControl w:val="0"/>
              <w:ind w:left="1050" w:hanging="1050" w:hangingChars="500"/>
              <w:jc w:val="left"/>
              <w:rPr>
                <w:rFonts w:hint="eastAsia" w:ascii="宋体" w:hAnsi="宋体"/>
              </w:rPr>
            </w:pPr>
            <w:r>
              <w:rPr>
                <w:rFonts w:hint="eastAsia" w:ascii="宋体" w:hAnsi="宋体"/>
              </w:rPr>
              <w:t>能力要求：理解网络数字化、人工智能等新技术对商务领域发展的冲击；能应用最新的网络、AI等技术手段或产品进行商务沟通与交流。</w:t>
            </w:r>
          </w:p>
          <w:p w14:paraId="47996A2B">
            <w:pPr>
              <w:pStyle w:val="14"/>
              <w:widowControl w:val="0"/>
              <w:jc w:val="left"/>
              <w:rPr>
                <w:rFonts w:hint="eastAsia" w:ascii="宋体" w:hAnsi="宋体"/>
              </w:rPr>
            </w:pPr>
            <w:r>
              <w:rPr>
                <w:rFonts w:hint="eastAsia" w:ascii="宋体" w:hAnsi="宋体"/>
              </w:rPr>
              <w:t>教学重点：1、学会应用最新的网络及人工智能技术手段或产品进行商务沟通与交流；</w:t>
            </w:r>
          </w:p>
          <w:p w14:paraId="4CD0A23C">
            <w:pPr>
              <w:pStyle w:val="14"/>
              <w:widowControl w:val="0"/>
              <w:jc w:val="left"/>
              <w:rPr>
                <w:rFonts w:hint="eastAsia" w:ascii="宋体" w:hAnsi="宋体"/>
              </w:rPr>
            </w:pPr>
            <w:r>
              <w:rPr>
                <w:rFonts w:hint="eastAsia" w:ascii="宋体" w:hAnsi="宋体"/>
              </w:rPr>
              <w:t xml:space="preserve"> </w:t>
            </w:r>
            <w:r>
              <w:rPr>
                <w:rFonts w:ascii="宋体" w:hAnsi="宋体"/>
              </w:rPr>
              <w:t xml:space="preserve">         2</w:t>
            </w:r>
            <w:r>
              <w:rPr>
                <w:rFonts w:hint="eastAsia" w:ascii="宋体" w:hAnsi="宋体"/>
              </w:rPr>
              <w:t>、通过“播报中国”课堂活动，了解中国最新经济发展动向；</w:t>
            </w:r>
          </w:p>
          <w:p w14:paraId="5A90D707">
            <w:pPr>
              <w:pStyle w:val="14"/>
              <w:widowControl w:val="0"/>
              <w:ind w:left="1470" w:hanging="1470" w:hangingChars="700"/>
              <w:jc w:val="left"/>
              <w:rPr>
                <w:rFonts w:hint="eastAsia" w:ascii="宋体" w:hAnsi="宋体"/>
              </w:rPr>
            </w:pPr>
            <w:r>
              <w:rPr>
                <w:rFonts w:hint="eastAsia" w:ascii="宋体" w:hAnsi="宋体"/>
              </w:rPr>
              <w:t xml:space="preserve"> </w:t>
            </w:r>
            <w:r>
              <w:rPr>
                <w:rFonts w:ascii="宋体" w:hAnsi="宋体"/>
              </w:rPr>
              <w:t xml:space="preserve">         3</w:t>
            </w:r>
            <w:r>
              <w:rPr>
                <w:rFonts w:hint="eastAsia" w:ascii="宋体" w:hAnsi="宋体"/>
              </w:rPr>
              <w:t>、了解网络及人工智能新技术为跨文化商务交流带来的便捷，提升国际视野，坚定中国自信。</w:t>
            </w:r>
          </w:p>
          <w:p w14:paraId="638ACB23">
            <w:pPr>
              <w:pStyle w:val="14"/>
              <w:widowControl w:val="0"/>
              <w:jc w:val="left"/>
              <w:rPr>
                <w:rFonts w:hint="eastAsia" w:ascii="宋体" w:hAnsi="宋体"/>
              </w:rPr>
            </w:pPr>
            <w:r>
              <w:rPr>
                <w:rFonts w:hint="eastAsia" w:ascii="宋体" w:hAnsi="宋体"/>
              </w:rPr>
              <w:t>教学难点：跨文化环境下运用英语进行商务沟通中的“B</w:t>
            </w:r>
            <w:r>
              <w:rPr>
                <w:rFonts w:ascii="宋体" w:hAnsi="宋体"/>
              </w:rPr>
              <w:t>riefing</w:t>
            </w:r>
            <w:r>
              <w:rPr>
                <w:rFonts w:hint="eastAsia" w:ascii="宋体" w:hAnsi="宋体"/>
              </w:rPr>
              <w:t>”(简报、简会)。</w:t>
            </w:r>
          </w:p>
        </w:tc>
      </w:tr>
      <w:tr w14:paraId="63D4817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76" w:type="dxa"/>
          </w:tcPr>
          <w:p w14:paraId="360329EA">
            <w:pPr>
              <w:pStyle w:val="14"/>
              <w:widowControl w:val="0"/>
              <w:jc w:val="left"/>
              <w:rPr>
                <w:rFonts w:cs="Times New Roman"/>
              </w:rPr>
            </w:pPr>
            <w:r>
              <w:rPr>
                <w:rFonts w:hint="eastAsia" w:ascii="宋体" w:hAnsi="宋体"/>
              </w:rPr>
              <w:t xml:space="preserve">第八单元 </w:t>
            </w:r>
            <w:r>
              <w:rPr>
                <w:rFonts w:cs="Times New Roman"/>
              </w:rPr>
              <w:t xml:space="preserve"> Competition</w:t>
            </w:r>
          </w:p>
          <w:p w14:paraId="326BB89F">
            <w:pPr>
              <w:pStyle w:val="14"/>
              <w:widowControl w:val="0"/>
              <w:ind w:left="1050" w:hanging="1050" w:hangingChars="500"/>
              <w:jc w:val="left"/>
              <w:rPr>
                <w:rFonts w:hint="eastAsia" w:ascii="宋体" w:hAnsi="宋体"/>
              </w:rPr>
            </w:pPr>
            <w:r>
              <w:rPr>
                <w:rFonts w:hint="eastAsia" w:ascii="宋体" w:hAnsi="宋体"/>
              </w:rPr>
              <w:t xml:space="preserve">知识点： </w:t>
            </w:r>
            <w:r>
              <w:rPr>
                <w:rFonts w:ascii="宋体" w:hAnsi="宋体"/>
              </w:rPr>
              <w:t xml:space="preserve"> </w:t>
            </w:r>
            <w:r>
              <w:rPr>
                <w:rFonts w:hint="eastAsia" w:ascii="宋体" w:hAnsi="宋体"/>
              </w:rPr>
              <w:t>了解商业领域激烈竞争的现象及竞争的手段策略；学习工作中处理矛盾的技巧。</w:t>
            </w:r>
          </w:p>
          <w:p w14:paraId="69967198">
            <w:pPr>
              <w:pStyle w:val="14"/>
              <w:widowControl w:val="0"/>
              <w:ind w:left="1050" w:hanging="1050" w:hangingChars="500"/>
              <w:jc w:val="left"/>
              <w:rPr>
                <w:rFonts w:hint="eastAsia" w:ascii="宋体" w:hAnsi="宋体"/>
              </w:rPr>
            </w:pPr>
            <w:r>
              <w:rPr>
                <w:rFonts w:hint="eastAsia" w:ascii="宋体" w:hAnsi="宋体"/>
              </w:rPr>
              <w:t>能力要求：掌握有关商业领域竞争的基本概念及其对应的英语表达；掌握解决职场中矛盾争端的基本技巧。</w:t>
            </w:r>
          </w:p>
          <w:p w14:paraId="4B90B926">
            <w:pPr>
              <w:pStyle w:val="14"/>
              <w:widowControl w:val="0"/>
              <w:ind w:left="1260" w:hanging="1260" w:hangingChars="600"/>
              <w:jc w:val="left"/>
              <w:rPr>
                <w:rFonts w:hint="eastAsia" w:ascii="宋体" w:hAnsi="宋体"/>
              </w:rPr>
            </w:pPr>
            <w:r>
              <w:rPr>
                <w:rFonts w:hint="eastAsia" w:ascii="宋体" w:hAnsi="宋体"/>
              </w:rPr>
              <w:t>教学重点：1、通过阅读案例了解商业领域的竞争现象及策略；学会如何处理工作场景中的争端冲突；</w:t>
            </w:r>
          </w:p>
          <w:p w14:paraId="6B480A0A">
            <w:pPr>
              <w:pStyle w:val="14"/>
              <w:widowControl w:val="0"/>
              <w:jc w:val="left"/>
              <w:rPr>
                <w:rFonts w:hint="eastAsia" w:ascii="宋体" w:hAnsi="宋体"/>
              </w:rPr>
            </w:pPr>
            <w:r>
              <w:rPr>
                <w:rFonts w:hint="eastAsia" w:ascii="宋体" w:hAnsi="宋体"/>
              </w:rPr>
              <w:t xml:space="preserve"> </w:t>
            </w:r>
            <w:r>
              <w:rPr>
                <w:rFonts w:ascii="宋体" w:hAnsi="宋体"/>
              </w:rPr>
              <w:t xml:space="preserve">         2</w:t>
            </w:r>
            <w:r>
              <w:rPr>
                <w:rFonts w:hint="eastAsia" w:ascii="宋体" w:hAnsi="宋体"/>
              </w:rPr>
              <w:t>、通过“播报中国”课堂活动，了解中国最新经济发展动向；</w:t>
            </w:r>
          </w:p>
          <w:p w14:paraId="0770084B">
            <w:pPr>
              <w:pStyle w:val="14"/>
              <w:widowControl w:val="0"/>
              <w:jc w:val="left"/>
              <w:rPr>
                <w:rFonts w:hint="eastAsia" w:ascii="宋体" w:hAnsi="宋体"/>
              </w:rPr>
            </w:pPr>
            <w:r>
              <w:rPr>
                <w:rFonts w:hint="eastAsia" w:ascii="宋体" w:hAnsi="宋体"/>
              </w:rPr>
              <w:t xml:space="preserve"> </w:t>
            </w:r>
            <w:r>
              <w:rPr>
                <w:rFonts w:ascii="宋体" w:hAnsi="宋体"/>
              </w:rPr>
              <w:t xml:space="preserve">         3</w:t>
            </w:r>
            <w:r>
              <w:rPr>
                <w:rFonts w:hint="eastAsia" w:ascii="宋体" w:hAnsi="宋体"/>
              </w:rPr>
              <w:t>、在学习企业的日常生产和管理中，培养学生的社会责任心和职业素养。</w:t>
            </w:r>
          </w:p>
          <w:p w14:paraId="0A1BB3FC">
            <w:pPr>
              <w:pStyle w:val="14"/>
              <w:widowControl w:val="0"/>
              <w:jc w:val="left"/>
              <w:rPr>
                <w:rFonts w:hint="eastAsia" w:ascii="宋体" w:hAnsi="宋体"/>
              </w:rPr>
            </w:pPr>
            <w:r>
              <w:rPr>
                <w:rFonts w:hint="eastAsia" w:ascii="宋体" w:hAnsi="宋体"/>
              </w:rPr>
              <w:t>教学难点：如何理解应对商场激励竞争，如何运用英语语言有效处理职场冲突。</w:t>
            </w:r>
          </w:p>
        </w:tc>
      </w:tr>
      <w:bookmarkEnd w:id="0"/>
      <w:bookmarkEnd w:id="1"/>
    </w:tbl>
    <w:p w14:paraId="47C67CC7">
      <w:pPr>
        <w:pStyle w:val="17"/>
        <w:spacing w:before="81" w:after="163"/>
      </w:pPr>
    </w:p>
    <w:p w14:paraId="3BF6F625">
      <w:pPr>
        <w:pStyle w:val="17"/>
        <w:spacing w:before="81" w:after="163"/>
      </w:pPr>
      <w:r>
        <w:rPr>
          <w:rFonts w:hint="eastAsia"/>
        </w:rPr>
        <w:t>（二）教学单元对课程目标的支撑关系</w:t>
      </w:r>
    </w:p>
    <w:tbl>
      <w:tblPr>
        <w:tblStyle w:val="7"/>
        <w:tblW w:w="43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1"/>
        <w:gridCol w:w="1103"/>
        <w:gridCol w:w="1099"/>
        <w:gridCol w:w="1099"/>
        <w:gridCol w:w="1098"/>
        <w:gridCol w:w="1098"/>
      </w:tblGrid>
      <w:tr w14:paraId="3E941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47" w:hRule="atLeast"/>
          <w:jc w:val="center"/>
        </w:trPr>
        <w:tc>
          <w:tcPr>
            <w:tcW w:w="1828" w:type="dxa"/>
            <w:tcBorders>
              <w:top w:val="single" w:color="auto" w:sz="12" w:space="0"/>
              <w:left w:val="single" w:color="auto" w:sz="12" w:space="0"/>
              <w:tl2br w:val="single" w:color="auto" w:sz="4" w:space="0"/>
            </w:tcBorders>
          </w:tcPr>
          <w:p w14:paraId="6BCA610C">
            <w:pPr>
              <w:pStyle w:val="13"/>
              <w:ind w:firstLine="489"/>
              <w:jc w:val="right"/>
              <w:rPr>
                <w:szCs w:val="16"/>
              </w:rPr>
            </w:pPr>
            <w:r>
              <w:rPr>
                <w:rFonts w:hint="eastAsia"/>
                <w:szCs w:val="16"/>
              </w:rPr>
              <w:t>课程目标</w:t>
            </w:r>
          </w:p>
          <w:p w14:paraId="4DF9EB37">
            <w:pPr>
              <w:pStyle w:val="13"/>
              <w:ind w:right="210"/>
              <w:jc w:val="left"/>
              <w:rPr>
                <w:szCs w:val="16"/>
              </w:rPr>
            </w:pPr>
          </w:p>
          <w:p w14:paraId="07C17F84">
            <w:pPr>
              <w:pStyle w:val="13"/>
              <w:ind w:right="210"/>
              <w:jc w:val="left"/>
              <w:rPr>
                <w:szCs w:val="16"/>
              </w:rPr>
            </w:pPr>
            <w:r>
              <w:rPr>
                <w:rFonts w:hint="eastAsia"/>
                <w:szCs w:val="16"/>
              </w:rPr>
              <w:t>教学单元</w:t>
            </w:r>
          </w:p>
        </w:tc>
        <w:tc>
          <w:tcPr>
            <w:tcW w:w="1078" w:type="dxa"/>
            <w:tcBorders>
              <w:top w:val="single" w:color="auto" w:sz="12" w:space="0"/>
            </w:tcBorders>
            <w:vAlign w:val="center"/>
          </w:tcPr>
          <w:p w14:paraId="254598F6">
            <w:pPr>
              <w:pStyle w:val="13"/>
              <w:rPr>
                <w:szCs w:val="16"/>
              </w:rPr>
            </w:pPr>
            <w:r>
              <w:rPr>
                <w:szCs w:val="16"/>
              </w:rPr>
              <w:t>1</w:t>
            </w:r>
          </w:p>
        </w:tc>
        <w:tc>
          <w:tcPr>
            <w:tcW w:w="1074" w:type="dxa"/>
            <w:tcBorders>
              <w:top w:val="single" w:color="auto" w:sz="12" w:space="0"/>
            </w:tcBorders>
            <w:vAlign w:val="center"/>
          </w:tcPr>
          <w:p w14:paraId="7A09DD12">
            <w:pPr>
              <w:pStyle w:val="13"/>
              <w:rPr>
                <w:szCs w:val="16"/>
              </w:rPr>
            </w:pPr>
            <w:r>
              <w:rPr>
                <w:szCs w:val="16"/>
              </w:rPr>
              <w:t>2</w:t>
            </w:r>
          </w:p>
        </w:tc>
        <w:tc>
          <w:tcPr>
            <w:tcW w:w="1074" w:type="dxa"/>
            <w:tcBorders>
              <w:top w:val="single" w:color="auto" w:sz="12" w:space="0"/>
            </w:tcBorders>
            <w:vAlign w:val="center"/>
          </w:tcPr>
          <w:p w14:paraId="6772F538">
            <w:pPr>
              <w:pStyle w:val="13"/>
              <w:rPr>
                <w:szCs w:val="16"/>
              </w:rPr>
            </w:pPr>
            <w:r>
              <w:rPr>
                <w:szCs w:val="16"/>
              </w:rPr>
              <w:t>3</w:t>
            </w:r>
          </w:p>
        </w:tc>
        <w:tc>
          <w:tcPr>
            <w:tcW w:w="1073" w:type="dxa"/>
            <w:tcBorders>
              <w:top w:val="single" w:color="auto" w:sz="12" w:space="0"/>
            </w:tcBorders>
            <w:vAlign w:val="center"/>
          </w:tcPr>
          <w:p w14:paraId="403664F2">
            <w:pPr>
              <w:pStyle w:val="13"/>
              <w:rPr>
                <w:szCs w:val="16"/>
              </w:rPr>
            </w:pPr>
            <w:r>
              <w:rPr>
                <w:rFonts w:hint="eastAsia"/>
                <w:szCs w:val="16"/>
              </w:rPr>
              <w:t>4</w:t>
            </w:r>
          </w:p>
        </w:tc>
        <w:tc>
          <w:tcPr>
            <w:tcW w:w="1073" w:type="dxa"/>
            <w:tcBorders>
              <w:top w:val="single" w:color="auto" w:sz="12" w:space="0"/>
            </w:tcBorders>
            <w:vAlign w:val="center"/>
          </w:tcPr>
          <w:p w14:paraId="01CB7E92">
            <w:pPr>
              <w:pStyle w:val="13"/>
              <w:rPr>
                <w:szCs w:val="16"/>
              </w:rPr>
            </w:pPr>
            <w:r>
              <w:rPr>
                <w:rFonts w:hint="eastAsia"/>
                <w:szCs w:val="16"/>
              </w:rPr>
              <w:t>5</w:t>
            </w:r>
          </w:p>
        </w:tc>
      </w:tr>
      <w:tr w14:paraId="35CFA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28" w:type="dxa"/>
            <w:tcBorders>
              <w:left w:val="single" w:color="auto" w:sz="12" w:space="0"/>
            </w:tcBorders>
          </w:tcPr>
          <w:p w14:paraId="079E811E">
            <w:pPr>
              <w:pStyle w:val="14"/>
              <w:widowControl w:val="0"/>
              <w:jc w:val="left"/>
              <w:rPr>
                <w:rFonts w:ascii="宋体" w:hAnsi="宋体"/>
                <w:bCs/>
              </w:rPr>
            </w:pPr>
            <w:r>
              <w:rPr>
                <w:rFonts w:hint="eastAsia" w:ascii="宋体" w:hAnsi="宋体"/>
                <w:bCs/>
              </w:rPr>
              <w:t>第一单元</w:t>
            </w:r>
          </w:p>
          <w:p w14:paraId="5211E61F">
            <w:pPr>
              <w:pStyle w:val="14"/>
              <w:widowControl w:val="0"/>
              <w:jc w:val="left"/>
            </w:pPr>
            <w:r>
              <w:rPr>
                <w:rFonts w:cs="Times New Roman"/>
                <w:bCs/>
              </w:rPr>
              <w:t>Markets</w:t>
            </w:r>
          </w:p>
        </w:tc>
        <w:tc>
          <w:tcPr>
            <w:tcW w:w="1078" w:type="dxa"/>
            <w:vAlign w:val="center"/>
          </w:tcPr>
          <w:p w14:paraId="13B60888">
            <w:pPr>
              <w:pStyle w:val="14"/>
            </w:pPr>
            <w:r>
              <w:rPr>
                <w:rFonts w:ascii="宋体" w:hAnsi="宋体"/>
                <w:color w:val="000000" w:themeColor="text1"/>
                <w14:textFill>
                  <w14:solidFill>
                    <w14:schemeClr w14:val="tx1"/>
                  </w14:solidFill>
                </w14:textFill>
              </w:rPr>
              <w:t>√</w:t>
            </w:r>
          </w:p>
        </w:tc>
        <w:tc>
          <w:tcPr>
            <w:tcW w:w="1074" w:type="dxa"/>
            <w:vAlign w:val="center"/>
          </w:tcPr>
          <w:p w14:paraId="49721801">
            <w:pPr>
              <w:pStyle w:val="14"/>
            </w:pPr>
            <w:r>
              <w:rPr>
                <w:rFonts w:ascii="宋体" w:hAnsi="宋体"/>
                <w:color w:val="000000" w:themeColor="text1"/>
                <w14:textFill>
                  <w14:solidFill>
                    <w14:schemeClr w14:val="tx1"/>
                  </w14:solidFill>
                </w14:textFill>
              </w:rPr>
              <w:t>√</w:t>
            </w:r>
          </w:p>
        </w:tc>
        <w:tc>
          <w:tcPr>
            <w:tcW w:w="1074" w:type="dxa"/>
            <w:vAlign w:val="center"/>
          </w:tcPr>
          <w:p w14:paraId="390FCCF5">
            <w:pPr>
              <w:pStyle w:val="14"/>
            </w:pPr>
          </w:p>
        </w:tc>
        <w:tc>
          <w:tcPr>
            <w:tcW w:w="1073" w:type="dxa"/>
            <w:vAlign w:val="center"/>
          </w:tcPr>
          <w:p w14:paraId="2E36B0BE">
            <w:pPr>
              <w:pStyle w:val="14"/>
            </w:pPr>
          </w:p>
        </w:tc>
        <w:tc>
          <w:tcPr>
            <w:tcW w:w="1073" w:type="dxa"/>
            <w:vAlign w:val="center"/>
          </w:tcPr>
          <w:p w14:paraId="0327256B">
            <w:pPr>
              <w:pStyle w:val="14"/>
            </w:pPr>
            <w:r>
              <w:rPr>
                <w:rFonts w:ascii="宋体" w:hAnsi="宋体"/>
                <w:color w:val="000000" w:themeColor="text1"/>
                <w14:textFill>
                  <w14:solidFill>
                    <w14:schemeClr w14:val="tx1"/>
                  </w14:solidFill>
                </w14:textFill>
              </w:rPr>
              <w:t>√</w:t>
            </w:r>
          </w:p>
        </w:tc>
      </w:tr>
      <w:tr w14:paraId="38CC7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28" w:type="dxa"/>
            <w:tcBorders>
              <w:left w:val="single" w:color="auto" w:sz="12" w:space="0"/>
            </w:tcBorders>
          </w:tcPr>
          <w:p w14:paraId="3CF2847D">
            <w:pPr>
              <w:pStyle w:val="14"/>
              <w:widowControl w:val="0"/>
              <w:jc w:val="left"/>
              <w:rPr>
                <w:rFonts w:cs="Times New Roman"/>
              </w:rPr>
            </w:pPr>
            <w:r>
              <w:rPr>
                <w:rFonts w:hint="eastAsia" w:ascii="宋体" w:hAnsi="宋体"/>
              </w:rPr>
              <w:t>第二单元</w:t>
            </w:r>
            <w:r>
              <w:rPr>
                <w:rFonts w:cs="Times New Roman"/>
              </w:rPr>
              <w:t xml:space="preserve"> </w:t>
            </w:r>
          </w:p>
          <w:p w14:paraId="7A2E293B">
            <w:pPr>
              <w:pStyle w:val="14"/>
              <w:widowControl w:val="0"/>
              <w:jc w:val="left"/>
            </w:pPr>
            <w:r>
              <w:rPr>
                <w:rFonts w:cs="Times New Roman"/>
              </w:rPr>
              <w:t>Brands</w:t>
            </w:r>
          </w:p>
        </w:tc>
        <w:tc>
          <w:tcPr>
            <w:tcW w:w="1078" w:type="dxa"/>
            <w:vAlign w:val="center"/>
          </w:tcPr>
          <w:p w14:paraId="57F0A867">
            <w:pPr>
              <w:pStyle w:val="14"/>
            </w:pPr>
            <w:r>
              <w:rPr>
                <w:rFonts w:ascii="宋体" w:hAnsi="宋体"/>
                <w:color w:val="000000" w:themeColor="text1"/>
                <w14:textFill>
                  <w14:solidFill>
                    <w14:schemeClr w14:val="tx1"/>
                  </w14:solidFill>
                </w14:textFill>
              </w:rPr>
              <w:t>√</w:t>
            </w:r>
          </w:p>
        </w:tc>
        <w:tc>
          <w:tcPr>
            <w:tcW w:w="1074" w:type="dxa"/>
            <w:vAlign w:val="center"/>
          </w:tcPr>
          <w:p w14:paraId="46796DE1">
            <w:pPr>
              <w:pStyle w:val="14"/>
            </w:pPr>
            <w:r>
              <w:rPr>
                <w:rFonts w:ascii="宋体" w:hAnsi="宋体"/>
                <w:color w:val="000000" w:themeColor="text1"/>
                <w14:textFill>
                  <w14:solidFill>
                    <w14:schemeClr w14:val="tx1"/>
                  </w14:solidFill>
                </w14:textFill>
              </w:rPr>
              <w:t>√</w:t>
            </w:r>
          </w:p>
        </w:tc>
        <w:tc>
          <w:tcPr>
            <w:tcW w:w="1074" w:type="dxa"/>
            <w:vAlign w:val="center"/>
          </w:tcPr>
          <w:p w14:paraId="3B79313F">
            <w:pPr>
              <w:pStyle w:val="14"/>
            </w:pPr>
          </w:p>
        </w:tc>
        <w:tc>
          <w:tcPr>
            <w:tcW w:w="1073" w:type="dxa"/>
            <w:vAlign w:val="center"/>
          </w:tcPr>
          <w:p w14:paraId="336315EE">
            <w:pPr>
              <w:pStyle w:val="14"/>
            </w:pPr>
            <w:r>
              <w:rPr>
                <w:rFonts w:ascii="宋体" w:hAnsi="宋体"/>
                <w:color w:val="000000" w:themeColor="text1"/>
                <w14:textFill>
                  <w14:solidFill>
                    <w14:schemeClr w14:val="tx1"/>
                  </w14:solidFill>
                </w14:textFill>
              </w:rPr>
              <w:t>√</w:t>
            </w:r>
          </w:p>
        </w:tc>
        <w:tc>
          <w:tcPr>
            <w:tcW w:w="1073" w:type="dxa"/>
            <w:vAlign w:val="center"/>
          </w:tcPr>
          <w:p w14:paraId="7B4D0F58">
            <w:pPr>
              <w:pStyle w:val="14"/>
            </w:pPr>
            <w:r>
              <w:rPr>
                <w:rFonts w:ascii="宋体" w:hAnsi="宋体"/>
                <w:color w:val="000000" w:themeColor="text1"/>
                <w14:textFill>
                  <w14:solidFill>
                    <w14:schemeClr w14:val="tx1"/>
                  </w14:solidFill>
                </w14:textFill>
              </w:rPr>
              <w:t>√</w:t>
            </w:r>
          </w:p>
        </w:tc>
      </w:tr>
      <w:tr w14:paraId="14FF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28" w:type="dxa"/>
            <w:tcBorders>
              <w:left w:val="single" w:color="auto" w:sz="12" w:space="0"/>
            </w:tcBorders>
          </w:tcPr>
          <w:p w14:paraId="17F53291">
            <w:pPr>
              <w:pStyle w:val="14"/>
              <w:widowControl w:val="0"/>
              <w:jc w:val="left"/>
            </w:pPr>
            <w:r>
              <w:rPr>
                <w:rFonts w:hint="eastAsia" w:ascii="宋体" w:hAnsi="宋体"/>
              </w:rPr>
              <w:t>第三单元</w:t>
            </w:r>
            <w:r>
              <w:rPr>
                <w:rFonts w:cs="Times New Roman"/>
              </w:rPr>
              <w:t>Communication</w:t>
            </w:r>
          </w:p>
        </w:tc>
        <w:tc>
          <w:tcPr>
            <w:tcW w:w="1078" w:type="dxa"/>
            <w:vAlign w:val="center"/>
          </w:tcPr>
          <w:p w14:paraId="34A1A856">
            <w:pPr>
              <w:pStyle w:val="14"/>
            </w:pPr>
            <w:r>
              <w:rPr>
                <w:rFonts w:ascii="宋体" w:hAnsi="宋体"/>
                <w:color w:val="000000" w:themeColor="text1"/>
                <w14:textFill>
                  <w14:solidFill>
                    <w14:schemeClr w14:val="tx1"/>
                  </w14:solidFill>
                </w14:textFill>
              </w:rPr>
              <w:t>√</w:t>
            </w:r>
          </w:p>
        </w:tc>
        <w:tc>
          <w:tcPr>
            <w:tcW w:w="1074" w:type="dxa"/>
            <w:vAlign w:val="center"/>
          </w:tcPr>
          <w:p w14:paraId="38C3C5E8">
            <w:pPr>
              <w:pStyle w:val="14"/>
            </w:pPr>
            <w:r>
              <w:rPr>
                <w:rFonts w:ascii="宋体" w:hAnsi="宋体"/>
                <w:color w:val="000000" w:themeColor="text1"/>
                <w14:textFill>
                  <w14:solidFill>
                    <w14:schemeClr w14:val="tx1"/>
                  </w14:solidFill>
                </w14:textFill>
              </w:rPr>
              <w:t>√</w:t>
            </w:r>
          </w:p>
        </w:tc>
        <w:tc>
          <w:tcPr>
            <w:tcW w:w="1074" w:type="dxa"/>
            <w:vAlign w:val="center"/>
          </w:tcPr>
          <w:p w14:paraId="498C26E1">
            <w:pPr>
              <w:pStyle w:val="14"/>
            </w:pPr>
            <w:r>
              <w:rPr>
                <w:rFonts w:ascii="宋体" w:hAnsi="宋体"/>
                <w:color w:val="000000" w:themeColor="text1"/>
                <w14:textFill>
                  <w14:solidFill>
                    <w14:schemeClr w14:val="tx1"/>
                  </w14:solidFill>
                </w14:textFill>
              </w:rPr>
              <w:t>√</w:t>
            </w:r>
          </w:p>
        </w:tc>
        <w:tc>
          <w:tcPr>
            <w:tcW w:w="1073" w:type="dxa"/>
            <w:vAlign w:val="center"/>
          </w:tcPr>
          <w:p w14:paraId="20BC5829">
            <w:pPr>
              <w:pStyle w:val="14"/>
            </w:pPr>
          </w:p>
        </w:tc>
        <w:tc>
          <w:tcPr>
            <w:tcW w:w="1073" w:type="dxa"/>
            <w:vAlign w:val="center"/>
          </w:tcPr>
          <w:p w14:paraId="748EEF3D">
            <w:pPr>
              <w:pStyle w:val="14"/>
            </w:pPr>
            <w:r>
              <w:rPr>
                <w:rFonts w:ascii="宋体" w:hAnsi="宋体"/>
                <w:color w:val="000000" w:themeColor="text1"/>
                <w14:textFill>
                  <w14:solidFill>
                    <w14:schemeClr w14:val="tx1"/>
                  </w14:solidFill>
                </w14:textFill>
              </w:rPr>
              <w:t>√</w:t>
            </w:r>
          </w:p>
        </w:tc>
      </w:tr>
      <w:tr w14:paraId="27124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28" w:type="dxa"/>
            <w:tcBorders>
              <w:left w:val="single" w:color="auto" w:sz="12" w:space="0"/>
            </w:tcBorders>
          </w:tcPr>
          <w:p w14:paraId="093D3A66">
            <w:pPr>
              <w:pStyle w:val="14"/>
              <w:widowControl w:val="0"/>
              <w:jc w:val="left"/>
              <w:rPr>
                <w:rFonts w:ascii="宋体" w:hAnsi="宋体"/>
              </w:rPr>
            </w:pPr>
            <w:r>
              <w:rPr>
                <w:rFonts w:hint="eastAsia" w:ascii="宋体" w:hAnsi="宋体"/>
              </w:rPr>
              <w:t>第四单元</w:t>
            </w:r>
          </w:p>
          <w:p w14:paraId="30E558BD">
            <w:pPr>
              <w:pStyle w:val="14"/>
              <w:widowControl w:val="0"/>
              <w:jc w:val="left"/>
            </w:pPr>
            <w:r>
              <w:rPr>
                <w:rFonts w:cs="Times New Roman"/>
              </w:rPr>
              <w:t>Logistics</w:t>
            </w:r>
          </w:p>
        </w:tc>
        <w:tc>
          <w:tcPr>
            <w:tcW w:w="1078" w:type="dxa"/>
            <w:vAlign w:val="center"/>
          </w:tcPr>
          <w:p w14:paraId="698A1510">
            <w:pPr>
              <w:pStyle w:val="14"/>
            </w:pPr>
            <w:r>
              <w:rPr>
                <w:rFonts w:ascii="宋体" w:hAnsi="宋体"/>
                <w:color w:val="000000" w:themeColor="text1"/>
                <w14:textFill>
                  <w14:solidFill>
                    <w14:schemeClr w14:val="tx1"/>
                  </w14:solidFill>
                </w14:textFill>
              </w:rPr>
              <w:t>√</w:t>
            </w:r>
          </w:p>
        </w:tc>
        <w:tc>
          <w:tcPr>
            <w:tcW w:w="1074" w:type="dxa"/>
            <w:vAlign w:val="center"/>
          </w:tcPr>
          <w:p w14:paraId="7156EECF">
            <w:pPr>
              <w:pStyle w:val="14"/>
            </w:pPr>
            <w:r>
              <w:rPr>
                <w:rFonts w:ascii="宋体" w:hAnsi="宋体"/>
                <w:color w:val="000000" w:themeColor="text1"/>
                <w14:textFill>
                  <w14:solidFill>
                    <w14:schemeClr w14:val="tx1"/>
                  </w14:solidFill>
                </w14:textFill>
              </w:rPr>
              <w:t>√</w:t>
            </w:r>
          </w:p>
        </w:tc>
        <w:tc>
          <w:tcPr>
            <w:tcW w:w="1074" w:type="dxa"/>
            <w:vAlign w:val="center"/>
          </w:tcPr>
          <w:p w14:paraId="2F147FE6">
            <w:pPr>
              <w:pStyle w:val="14"/>
            </w:pPr>
            <w:r>
              <w:rPr>
                <w:rFonts w:ascii="宋体" w:hAnsi="宋体"/>
                <w:color w:val="000000" w:themeColor="text1"/>
                <w14:textFill>
                  <w14:solidFill>
                    <w14:schemeClr w14:val="tx1"/>
                  </w14:solidFill>
                </w14:textFill>
              </w:rPr>
              <w:t>√</w:t>
            </w:r>
          </w:p>
        </w:tc>
        <w:tc>
          <w:tcPr>
            <w:tcW w:w="1073" w:type="dxa"/>
            <w:vAlign w:val="center"/>
          </w:tcPr>
          <w:p w14:paraId="407B6868">
            <w:pPr>
              <w:pStyle w:val="14"/>
            </w:pPr>
          </w:p>
        </w:tc>
        <w:tc>
          <w:tcPr>
            <w:tcW w:w="1073" w:type="dxa"/>
            <w:vAlign w:val="center"/>
          </w:tcPr>
          <w:p w14:paraId="59612D0E">
            <w:pPr>
              <w:pStyle w:val="14"/>
            </w:pPr>
            <w:r>
              <w:rPr>
                <w:rFonts w:ascii="宋体" w:hAnsi="宋体"/>
                <w:color w:val="000000" w:themeColor="text1"/>
                <w14:textFill>
                  <w14:solidFill>
                    <w14:schemeClr w14:val="tx1"/>
                  </w14:solidFill>
                </w14:textFill>
              </w:rPr>
              <w:t>√</w:t>
            </w:r>
          </w:p>
        </w:tc>
      </w:tr>
      <w:tr w14:paraId="662F9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28" w:type="dxa"/>
            <w:tcBorders>
              <w:left w:val="single" w:color="auto" w:sz="12" w:space="0"/>
            </w:tcBorders>
          </w:tcPr>
          <w:p w14:paraId="55423878">
            <w:pPr>
              <w:pStyle w:val="14"/>
              <w:widowControl w:val="0"/>
              <w:jc w:val="left"/>
              <w:rPr>
                <w:rFonts w:ascii="宋体" w:hAnsi="宋体"/>
              </w:rPr>
            </w:pPr>
            <w:r>
              <w:rPr>
                <w:rFonts w:hint="eastAsia" w:ascii="宋体" w:hAnsi="宋体"/>
              </w:rPr>
              <w:t>第五单元</w:t>
            </w:r>
          </w:p>
          <w:p w14:paraId="038C5D1F">
            <w:pPr>
              <w:pStyle w:val="14"/>
              <w:widowControl w:val="0"/>
              <w:jc w:val="left"/>
            </w:pPr>
            <w:r>
              <w:rPr>
                <w:rFonts w:cs="Times New Roman"/>
              </w:rPr>
              <w:t>Innovation</w:t>
            </w:r>
          </w:p>
        </w:tc>
        <w:tc>
          <w:tcPr>
            <w:tcW w:w="1078" w:type="dxa"/>
            <w:vAlign w:val="center"/>
          </w:tcPr>
          <w:p w14:paraId="3ADD1F1E">
            <w:pPr>
              <w:pStyle w:val="14"/>
            </w:pPr>
            <w:r>
              <w:rPr>
                <w:rFonts w:ascii="宋体" w:hAnsi="宋体"/>
                <w:color w:val="000000" w:themeColor="text1"/>
                <w14:textFill>
                  <w14:solidFill>
                    <w14:schemeClr w14:val="tx1"/>
                  </w14:solidFill>
                </w14:textFill>
              </w:rPr>
              <w:t>√</w:t>
            </w:r>
          </w:p>
        </w:tc>
        <w:tc>
          <w:tcPr>
            <w:tcW w:w="1074" w:type="dxa"/>
            <w:vAlign w:val="center"/>
          </w:tcPr>
          <w:p w14:paraId="4FFF85DC">
            <w:pPr>
              <w:pStyle w:val="14"/>
            </w:pPr>
            <w:r>
              <w:rPr>
                <w:rFonts w:ascii="宋体" w:hAnsi="宋体"/>
                <w:color w:val="000000" w:themeColor="text1"/>
                <w14:textFill>
                  <w14:solidFill>
                    <w14:schemeClr w14:val="tx1"/>
                  </w14:solidFill>
                </w14:textFill>
              </w:rPr>
              <w:t>√</w:t>
            </w:r>
          </w:p>
        </w:tc>
        <w:tc>
          <w:tcPr>
            <w:tcW w:w="1074" w:type="dxa"/>
            <w:vAlign w:val="center"/>
          </w:tcPr>
          <w:p w14:paraId="18BF1919">
            <w:pPr>
              <w:pStyle w:val="14"/>
            </w:pPr>
          </w:p>
        </w:tc>
        <w:tc>
          <w:tcPr>
            <w:tcW w:w="1073" w:type="dxa"/>
            <w:vAlign w:val="center"/>
          </w:tcPr>
          <w:p w14:paraId="76329531">
            <w:pPr>
              <w:pStyle w:val="14"/>
            </w:pPr>
            <w:r>
              <w:rPr>
                <w:rFonts w:ascii="宋体" w:hAnsi="宋体"/>
                <w:color w:val="000000" w:themeColor="text1"/>
                <w14:textFill>
                  <w14:solidFill>
                    <w14:schemeClr w14:val="tx1"/>
                  </w14:solidFill>
                </w14:textFill>
              </w:rPr>
              <w:t>√</w:t>
            </w:r>
          </w:p>
        </w:tc>
        <w:tc>
          <w:tcPr>
            <w:tcW w:w="1073" w:type="dxa"/>
            <w:vAlign w:val="center"/>
          </w:tcPr>
          <w:p w14:paraId="0D927316">
            <w:pPr>
              <w:pStyle w:val="14"/>
            </w:pPr>
            <w:r>
              <w:rPr>
                <w:rFonts w:ascii="宋体" w:hAnsi="宋体"/>
                <w:color w:val="000000" w:themeColor="text1"/>
                <w14:textFill>
                  <w14:solidFill>
                    <w14:schemeClr w14:val="tx1"/>
                  </w14:solidFill>
                </w14:textFill>
              </w:rPr>
              <w:t>√</w:t>
            </w:r>
          </w:p>
        </w:tc>
      </w:tr>
      <w:tr w14:paraId="0B20A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28" w:type="dxa"/>
            <w:tcBorders>
              <w:left w:val="single" w:color="auto" w:sz="12" w:space="0"/>
            </w:tcBorders>
          </w:tcPr>
          <w:p w14:paraId="23F47C21">
            <w:pPr>
              <w:pStyle w:val="14"/>
              <w:widowControl w:val="0"/>
              <w:jc w:val="left"/>
              <w:rPr>
                <w:rFonts w:ascii="宋体" w:hAnsi="宋体"/>
              </w:rPr>
            </w:pPr>
            <w:r>
              <w:rPr>
                <w:rFonts w:hint="eastAsia" w:ascii="宋体" w:hAnsi="宋体"/>
              </w:rPr>
              <w:t>第六单元</w:t>
            </w:r>
          </w:p>
          <w:p w14:paraId="0D637B6F">
            <w:pPr>
              <w:pStyle w:val="14"/>
              <w:widowControl w:val="0"/>
              <w:jc w:val="left"/>
            </w:pPr>
            <w:r>
              <w:rPr>
                <w:rFonts w:cs="Times New Roman"/>
              </w:rPr>
              <w:t>P</w:t>
            </w:r>
            <w:r>
              <w:rPr>
                <w:rFonts w:hint="eastAsia" w:cs="Times New Roman"/>
              </w:rPr>
              <w:t>ro</w:t>
            </w:r>
            <w:r>
              <w:rPr>
                <w:rFonts w:cs="Times New Roman"/>
              </w:rPr>
              <w:t>jects</w:t>
            </w:r>
          </w:p>
        </w:tc>
        <w:tc>
          <w:tcPr>
            <w:tcW w:w="1078" w:type="dxa"/>
            <w:vAlign w:val="center"/>
          </w:tcPr>
          <w:p w14:paraId="3C8311D7">
            <w:pPr>
              <w:pStyle w:val="14"/>
            </w:pPr>
            <w:r>
              <w:rPr>
                <w:rFonts w:ascii="宋体" w:hAnsi="宋体"/>
                <w:color w:val="000000" w:themeColor="text1"/>
                <w14:textFill>
                  <w14:solidFill>
                    <w14:schemeClr w14:val="tx1"/>
                  </w14:solidFill>
                </w14:textFill>
              </w:rPr>
              <w:t>√</w:t>
            </w:r>
          </w:p>
        </w:tc>
        <w:tc>
          <w:tcPr>
            <w:tcW w:w="1074" w:type="dxa"/>
            <w:vAlign w:val="center"/>
          </w:tcPr>
          <w:p w14:paraId="0B5027A5">
            <w:pPr>
              <w:pStyle w:val="14"/>
            </w:pPr>
            <w:r>
              <w:rPr>
                <w:rFonts w:ascii="宋体" w:hAnsi="宋体"/>
                <w:color w:val="000000" w:themeColor="text1"/>
                <w14:textFill>
                  <w14:solidFill>
                    <w14:schemeClr w14:val="tx1"/>
                  </w14:solidFill>
                </w14:textFill>
              </w:rPr>
              <w:t>√</w:t>
            </w:r>
          </w:p>
        </w:tc>
        <w:tc>
          <w:tcPr>
            <w:tcW w:w="1074" w:type="dxa"/>
            <w:vAlign w:val="center"/>
          </w:tcPr>
          <w:p w14:paraId="1D0DA3CF">
            <w:pPr>
              <w:pStyle w:val="14"/>
            </w:pPr>
            <w:r>
              <w:rPr>
                <w:rFonts w:ascii="宋体" w:hAnsi="宋体"/>
                <w:color w:val="000000" w:themeColor="text1"/>
                <w14:textFill>
                  <w14:solidFill>
                    <w14:schemeClr w14:val="tx1"/>
                  </w14:solidFill>
                </w14:textFill>
              </w:rPr>
              <w:t>√</w:t>
            </w:r>
          </w:p>
        </w:tc>
        <w:tc>
          <w:tcPr>
            <w:tcW w:w="1073" w:type="dxa"/>
            <w:vAlign w:val="center"/>
          </w:tcPr>
          <w:p w14:paraId="2F51FEE3">
            <w:pPr>
              <w:pStyle w:val="14"/>
            </w:pPr>
            <w:r>
              <w:rPr>
                <w:rFonts w:ascii="宋体" w:hAnsi="宋体"/>
                <w:color w:val="000000" w:themeColor="text1"/>
                <w14:textFill>
                  <w14:solidFill>
                    <w14:schemeClr w14:val="tx1"/>
                  </w14:solidFill>
                </w14:textFill>
              </w:rPr>
              <w:t>√</w:t>
            </w:r>
          </w:p>
        </w:tc>
        <w:tc>
          <w:tcPr>
            <w:tcW w:w="1073" w:type="dxa"/>
            <w:vAlign w:val="center"/>
          </w:tcPr>
          <w:p w14:paraId="77AC1743">
            <w:pPr>
              <w:pStyle w:val="14"/>
            </w:pPr>
            <w:r>
              <w:rPr>
                <w:rFonts w:ascii="宋体" w:hAnsi="宋体"/>
                <w:color w:val="000000" w:themeColor="text1"/>
                <w14:textFill>
                  <w14:solidFill>
                    <w14:schemeClr w14:val="tx1"/>
                  </w14:solidFill>
                </w14:textFill>
              </w:rPr>
              <w:t>√</w:t>
            </w:r>
          </w:p>
        </w:tc>
      </w:tr>
      <w:tr w14:paraId="07F6A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28" w:type="dxa"/>
            <w:tcBorders>
              <w:left w:val="single" w:color="auto" w:sz="12" w:space="0"/>
            </w:tcBorders>
          </w:tcPr>
          <w:p w14:paraId="50BA2F0B">
            <w:pPr>
              <w:pStyle w:val="14"/>
              <w:widowControl w:val="0"/>
              <w:jc w:val="left"/>
              <w:rPr>
                <w:rFonts w:ascii="宋体" w:hAnsi="宋体"/>
              </w:rPr>
            </w:pPr>
            <w:r>
              <w:rPr>
                <w:rFonts w:hint="eastAsia" w:ascii="宋体" w:hAnsi="宋体"/>
              </w:rPr>
              <w:t>第七单</w:t>
            </w:r>
          </w:p>
          <w:p w14:paraId="7E83D771">
            <w:pPr>
              <w:pStyle w:val="14"/>
              <w:widowControl w:val="0"/>
              <w:jc w:val="left"/>
            </w:pPr>
            <w:r>
              <w:rPr>
                <w:rFonts w:cs="Times New Roman"/>
              </w:rPr>
              <w:t>Technology</w:t>
            </w:r>
          </w:p>
        </w:tc>
        <w:tc>
          <w:tcPr>
            <w:tcW w:w="1078" w:type="dxa"/>
            <w:vAlign w:val="center"/>
          </w:tcPr>
          <w:p w14:paraId="22ED02C3">
            <w:pPr>
              <w:pStyle w:val="14"/>
            </w:pPr>
          </w:p>
        </w:tc>
        <w:tc>
          <w:tcPr>
            <w:tcW w:w="1074" w:type="dxa"/>
            <w:vAlign w:val="center"/>
          </w:tcPr>
          <w:p w14:paraId="798FBE4A">
            <w:pPr>
              <w:pStyle w:val="14"/>
            </w:pPr>
            <w:r>
              <w:rPr>
                <w:rFonts w:ascii="宋体" w:hAnsi="宋体"/>
                <w:color w:val="000000" w:themeColor="text1"/>
                <w14:textFill>
                  <w14:solidFill>
                    <w14:schemeClr w14:val="tx1"/>
                  </w14:solidFill>
                </w14:textFill>
              </w:rPr>
              <w:t>√</w:t>
            </w:r>
          </w:p>
        </w:tc>
        <w:tc>
          <w:tcPr>
            <w:tcW w:w="1074" w:type="dxa"/>
            <w:vAlign w:val="center"/>
          </w:tcPr>
          <w:p w14:paraId="1A8419B7">
            <w:pPr>
              <w:pStyle w:val="14"/>
            </w:pPr>
            <w:r>
              <w:rPr>
                <w:rFonts w:ascii="宋体" w:hAnsi="宋体"/>
                <w:color w:val="000000" w:themeColor="text1"/>
                <w14:textFill>
                  <w14:solidFill>
                    <w14:schemeClr w14:val="tx1"/>
                  </w14:solidFill>
                </w14:textFill>
              </w:rPr>
              <w:t>√</w:t>
            </w:r>
          </w:p>
        </w:tc>
        <w:tc>
          <w:tcPr>
            <w:tcW w:w="1073" w:type="dxa"/>
            <w:vAlign w:val="center"/>
          </w:tcPr>
          <w:p w14:paraId="58DB4CA2">
            <w:pPr>
              <w:pStyle w:val="14"/>
            </w:pPr>
          </w:p>
        </w:tc>
        <w:tc>
          <w:tcPr>
            <w:tcW w:w="1073" w:type="dxa"/>
            <w:vAlign w:val="center"/>
          </w:tcPr>
          <w:p w14:paraId="7017C3CE">
            <w:pPr>
              <w:pStyle w:val="14"/>
            </w:pPr>
            <w:r>
              <w:rPr>
                <w:rFonts w:ascii="宋体" w:hAnsi="宋体"/>
                <w:color w:val="000000" w:themeColor="text1"/>
                <w14:textFill>
                  <w14:solidFill>
                    <w14:schemeClr w14:val="tx1"/>
                  </w14:solidFill>
                </w14:textFill>
              </w:rPr>
              <w:t>√</w:t>
            </w:r>
          </w:p>
        </w:tc>
      </w:tr>
      <w:tr w14:paraId="12FE9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28" w:type="dxa"/>
            <w:tcBorders>
              <w:left w:val="single" w:color="auto" w:sz="12" w:space="0"/>
            </w:tcBorders>
          </w:tcPr>
          <w:p w14:paraId="0054D496">
            <w:pPr>
              <w:pStyle w:val="14"/>
              <w:widowControl w:val="0"/>
              <w:jc w:val="left"/>
              <w:rPr>
                <w:rFonts w:ascii="宋体" w:hAnsi="宋体"/>
              </w:rPr>
            </w:pPr>
            <w:r>
              <w:rPr>
                <w:rFonts w:hint="eastAsia" w:ascii="宋体" w:hAnsi="宋体"/>
              </w:rPr>
              <w:t>第八单</w:t>
            </w:r>
          </w:p>
          <w:p w14:paraId="1D45D631">
            <w:pPr>
              <w:pStyle w:val="14"/>
              <w:widowControl w:val="0"/>
              <w:jc w:val="left"/>
            </w:pPr>
            <w:r>
              <w:rPr>
                <w:rFonts w:cs="Times New Roman"/>
              </w:rPr>
              <w:t>Competition</w:t>
            </w:r>
          </w:p>
        </w:tc>
        <w:tc>
          <w:tcPr>
            <w:tcW w:w="1078" w:type="dxa"/>
            <w:vAlign w:val="center"/>
          </w:tcPr>
          <w:p w14:paraId="1B36E826">
            <w:pPr>
              <w:pStyle w:val="14"/>
            </w:pPr>
            <w:r>
              <w:rPr>
                <w:rFonts w:ascii="宋体" w:hAnsi="宋体"/>
                <w:color w:val="000000" w:themeColor="text1"/>
                <w14:textFill>
                  <w14:solidFill>
                    <w14:schemeClr w14:val="tx1"/>
                  </w14:solidFill>
                </w14:textFill>
              </w:rPr>
              <w:t>√</w:t>
            </w:r>
          </w:p>
        </w:tc>
        <w:tc>
          <w:tcPr>
            <w:tcW w:w="1074" w:type="dxa"/>
            <w:vAlign w:val="center"/>
          </w:tcPr>
          <w:p w14:paraId="2474C52F">
            <w:pPr>
              <w:pStyle w:val="14"/>
            </w:pPr>
            <w:r>
              <w:rPr>
                <w:rFonts w:ascii="宋体" w:hAnsi="宋体"/>
                <w:color w:val="000000" w:themeColor="text1"/>
                <w14:textFill>
                  <w14:solidFill>
                    <w14:schemeClr w14:val="tx1"/>
                  </w14:solidFill>
                </w14:textFill>
              </w:rPr>
              <w:t>√</w:t>
            </w:r>
          </w:p>
        </w:tc>
        <w:tc>
          <w:tcPr>
            <w:tcW w:w="1074" w:type="dxa"/>
            <w:vAlign w:val="center"/>
          </w:tcPr>
          <w:p w14:paraId="2EBD6B93">
            <w:pPr>
              <w:pStyle w:val="14"/>
            </w:pPr>
          </w:p>
        </w:tc>
        <w:tc>
          <w:tcPr>
            <w:tcW w:w="1073" w:type="dxa"/>
            <w:vAlign w:val="center"/>
          </w:tcPr>
          <w:p w14:paraId="33D4B587">
            <w:pPr>
              <w:pStyle w:val="14"/>
            </w:pPr>
          </w:p>
        </w:tc>
        <w:tc>
          <w:tcPr>
            <w:tcW w:w="1073" w:type="dxa"/>
            <w:vAlign w:val="center"/>
          </w:tcPr>
          <w:p w14:paraId="0244CEB1">
            <w:pPr>
              <w:pStyle w:val="14"/>
            </w:pPr>
            <w:r>
              <w:rPr>
                <w:rFonts w:ascii="宋体" w:hAnsi="宋体"/>
                <w:color w:val="000000" w:themeColor="text1"/>
                <w14:textFill>
                  <w14:solidFill>
                    <w14:schemeClr w14:val="tx1"/>
                  </w14:solidFill>
                </w14:textFill>
              </w:rPr>
              <w:t>√</w:t>
            </w:r>
          </w:p>
        </w:tc>
      </w:tr>
    </w:tbl>
    <w:p w14:paraId="2E6F41EE">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902"/>
        <w:gridCol w:w="2723"/>
        <w:gridCol w:w="1728"/>
        <w:gridCol w:w="727"/>
        <w:gridCol w:w="675"/>
        <w:gridCol w:w="721"/>
      </w:tblGrid>
      <w:tr w14:paraId="7D8A6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57" w:type="dxa"/>
            <w:vMerge w:val="restart"/>
            <w:tcBorders>
              <w:top w:val="single" w:color="auto" w:sz="12" w:space="0"/>
              <w:left w:val="single" w:color="auto" w:sz="12" w:space="0"/>
            </w:tcBorders>
            <w:vAlign w:val="center"/>
          </w:tcPr>
          <w:p w14:paraId="7D411E39">
            <w:pPr>
              <w:widowControl w:val="0"/>
              <w:snapToGrid w:val="0"/>
              <w:jc w:val="center"/>
              <w:rPr>
                <w:rFonts w:hint="eastAsia" w:ascii="黑体" w:hAnsi="黑体" w:eastAsia="黑体"/>
                <w:bCs/>
                <w:sz w:val="21"/>
                <w:szCs w:val="21"/>
              </w:rPr>
            </w:pPr>
            <w:r>
              <w:rPr>
                <w:rFonts w:hint="eastAsia" w:ascii="黑体" w:hAnsi="黑体" w:eastAsia="黑体"/>
                <w:bCs/>
                <w:sz w:val="21"/>
                <w:szCs w:val="21"/>
              </w:rPr>
              <w:t>教学单元</w:t>
            </w:r>
          </w:p>
        </w:tc>
        <w:tc>
          <w:tcPr>
            <w:tcW w:w="2659" w:type="dxa"/>
            <w:vMerge w:val="restart"/>
            <w:tcBorders>
              <w:top w:val="single" w:color="auto" w:sz="12" w:space="0"/>
            </w:tcBorders>
            <w:vAlign w:val="center"/>
          </w:tcPr>
          <w:p w14:paraId="46317DF2">
            <w:pPr>
              <w:pStyle w:val="13"/>
              <w:widowControl w:val="0"/>
              <w:rPr>
                <w:szCs w:val="21"/>
              </w:rPr>
            </w:pPr>
            <w:r>
              <w:rPr>
                <w:rFonts w:hint="eastAsia" w:ascii="黑体" w:hAnsi="黑体"/>
                <w:szCs w:val="21"/>
              </w:rPr>
              <w:t>教与学方式</w:t>
            </w:r>
          </w:p>
        </w:tc>
        <w:tc>
          <w:tcPr>
            <w:tcW w:w="1687" w:type="dxa"/>
            <w:vMerge w:val="restart"/>
            <w:tcBorders>
              <w:top w:val="single" w:color="auto" w:sz="12" w:space="0"/>
            </w:tcBorders>
            <w:vAlign w:val="center"/>
          </w:tcPr>
          <w:p w14:paraId="73B995E3">
            <w:pPr>
              <w:pStyle w:val="13"/>
              <w:widowControl w:val="0"/>
              <w:rPr>
                <w:rFonts w:hint="eastAsia" w:ascii="黑体" w:hAnsi="黑体"/>
                <w:szCs w:val="21"/>
              </w:rPr>
            </w:pPr>
            <w:r>
              <w:rPr>
                <w:rFonts w:hint="eastAsia" w:ascii="黑体" w:hAnsi="黑体"/>
                <w:szCs w:val="21"/>
              </w:rPr>
              <w:t>考核方式</w:t>
            </w:r>
          </w:p>
        </w:tc>
        <w:tc>
          <w:tcPr>
            <w:tcW w:w="2073" w:type="dxa"/>
            <w:gridSpan w:val="3"/>
            <w:tcBorders>
              <w:top w:val="single" w:color="auto" w:sz="12" w:space="0"/>
              <w:right w:val="single" w:color="auto" w:sz="12" w:space="0"/>
            </w:tcBorders>
            <w:vAlign w:val="center"/>
          </w:tcPr>
          <w:p w14:paraId="31B811AA">
            <w:pPr>
              <w:pStyle w:val="13"/>
              <w:widowControl w:val="0"/>
              <w:rPr>
                <w:rFonts w:hint="eastAsia" w:ascii="黑体" w:hAnsi="黑体"/>
                <w:szCs w:val="21"/>
              </w:rPr>
            </w:pPr>
            <w:r>
              <w:rPr>
                <w:rFonts w:hint="eastAsia" w:ascii="黑体" w:hAnsi="黑体"/>
                <w:szCs w:val="21"/>
              </w:rPr>
              <w:t>学时</w:t>
            </w:r>
            <w:r>
              <w:rPr>
                <w:rFonts w:hint="eastAsia" w:ascii="黑体" w:hAnsi="黑体"/>
                <w:bCs w:val="0"/>
                <w:szCs w:val="21"/>
              </w:rPr>
              <w:t>分配</w:t>
            </w:r>
          </w:p>
        </w:tc>
      </w:tr>
      <w:tr w14:paraId="7647E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57" w:type="dxa"/>
            <w:vMerge w:val="continue"/>
            <w:tcBorders>
              <w:left w:val="single" w:color="auto" w:sz="12" w:space="0"/>
            </w:tcBorders>
          </w:tcPr>
          <w:p w14:paraId="415DEE54">
            <w:pPr>
              <w:widowControl w:val="0"/>
              <w:snapToGrid w:val="0"/>
              <w:jc w:val="center"/>
              <w:rPr>
                <w:rFonts w:hint="eastAsia" w:ascii="黑体" w:hAnsi="黑体" w:eastAsia="黑体"/>
                <w:bCs/>
                <w:sz w:val="21"/>
                <w:szCs w:val="21"/>
              </w:rPr>
            </w:pPr>
          </w:p>
        </w:tc>
        <w:tc>
          <w:tcPr>
            <w:tcW w:w="2659" w:type="dxa"/>
            <w:vMerge w:val="continue"/>
          </w:tcPr>
          <w:p w14:paraId="4B8CE9F3">
            <w:pPr>
              <w:widowControl w:val="0"/>
              <w:snapToGrid w:val="0"/>
              <w:jc w:val="center"/>
              <w:rPr>
                <w:rFonts w:hint="eastAsia" w:ascii="黑体" w:hAnsi="黑体" w:eastAsia="黑体"/>
                <w:bCs/>
                <w:sz w:val="21"/>
                <w:szCs w:val="21"/>
              </w:rPr>
            </w:pPr>
          </w:p>
        </w:tc>
        <w:tc>
          <w:tcPr>
            <w:tcW w:w="1687" w:type="dxa"/>
            <w:vMerge w:val="continue"/>
          </w:tcPr>
          <w:p w14:paraId="77F7FC85">
            <w:pPr>
              <w:widowControl w:val="0"/>
              <w:snapToGrid w:val="0"/>
              <w:jc w:val="center"/>
              <w:rPr>
                <w:rFonts w:hint="eastAsia" w:ascii="黑体" w:hAnsi="黑体" w:eastAsia="黑体"/>
                <w:bCs/>
                <w:sz w:val="21"/>
                <w:szCs w:val="21"/>
              </w:rPr>
            </w:pPr>
          </w:p>
        </w:tc>
        <w:tc>
          <w:tcPr>
            <w:tcW w:w="710" w:type="dxa"/>
            <w:vAlign w:val="center"/>
          </w:tcPr>
          <w:p w14:paraId="7F9F7412">
            <w:pPr>
              <w:widowControl w:val="0"/>
              <w:snapToGrid w:val="0"/>
              <w:jc w:val="center"/>
              <w:rPr>
                <w:rFonts w:hint="eastAsia" w:ascii="黑体" w:hAnsi="黑体" w:eastAsia="黑体"/>
                <w:bCs/>
                <w:sz w:val="21"/>
                <w:szCs w:val="21"/>
              </w:rPr>
            </w:pPr>
            <w:r>
              <w:rPr>
                <w:rFonts w:hint="eastAsia" w:ascii="黑体" w:hAnsi="黑体" w:eastAsia="黑体"/>
                <w:bCs/>
                <w:sz w:val="21"/>
                <w:szCs w:val="21"/>
              </w:rPr>
              <w:t>理论</w:t>
            </w:r>
          </w:p>
        </w:tc>
        <w:tc>
          <w:tcPr>
            <w:tcW w:w="659" w:type="dxa"/>
            <w:vAlign w:val="center"/>
          </w:tcPr>
          <w:p w14:paraId="2334DD30">
            <w:pPr>
              <w:widowControl w:val="0"/>
              <w:snapToGrid w:val="0"/>
              <w:jc w:val="center"/>
              <w:rPr>
                <w:rFonts w:hint="eastAsia" w:ascii="黑体" w:hAnsi="黑体" w:eastAsia="黑体"/>
                <w:bCs/>
                <w:sz w:val="21"/>
                <w:szCs w:val="21"/>
              </w:rPr>
            </w:pPr>
            <w:r>
              <w:rPr>
                <w:rFonts w:hint="eastAsia" w:ascii="黑体" w:hAnsi="黑体" w:eastAsia="黑体"/>
                <w:bCs/>
                <w:sz w:val="21"/>
                <w:szCs w:val="21"/>
              </w:rPr>
              <w:t>实践</w:t>
            </w:r>
          </w:p>
        </w:tc>
        <w:tc>
          <w:tcPr>
            <w:tcW w:w="704" w:type="dxa"/>
            <w:tcBorders>
              <w:right w:val="single" w:color="auto" w:sz="12" w:space="0"/>
            </w:tcBorders>
            <w:vAlign w:val="center"/>
          </w:tcPr>
          <w:p w14:paraId="3E163DA6">
            <w:pPr>
              <w:widowControl w:val="0"/>
              <w:snapToGrid w:val="0"/>
              <w:jc w:val="center"/>
              <w:rPr>
                <w:rFonts w:hint="eastAsia" w:ascii="黑体" w:hAnsi="黑体" w:eastAsia="黑体"/>
                <w:bCs/>
                <w:sz w:val="21"/>
                <w:szCs w:val="21"/>
              </w:rPr>
            </w:pPr>
            <w:r>
              <w:rPr>
                <w:rFonts w:hint="eastAsia" w:ascii="黑体" w:hAnsi="黑体" w:eastAsia="黑体"/>
                <w:bCs/>
                <w:sz w:val="21"/>
                <w:szCs w:val="21"/>
              </w:rPr>
              <w:t>小计</w:t>
            </w:r>
          </w:p>
        </w:tc>
      </w:tr>
      <w:tr w14:paraId="41AFD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57" w:type="dxa"/>
            <w:tcBorders>
              <w:left w:val="single" w:color="auto" w:sz="12" w:space="0"/>
            </w:tcBorders>
          </w:tcPr>
          <w:p w14:paraId="72434D6D">
            <w:pPr>
              <w:pStyle w:val="14"/>
              <w:widowControl w:val="0"/>
              <w:jc w:val="left"/>
              <w:rPr>
                <w:rFonts w:hint="eastAsia" w:ascii="宋体" w:hAnsi="宋体"/>
                <w:bCs/>
              </w:rPr>
            </w:pPr>
            <w:r>
              <w:rPr>
                <w:rFonts w:hint="eastAsia" w:ascii="宋体" w:hAnsi="宋体"/>
                <w:bCs/>
              </w:rPr>
              <w:t>第一单元</w:t>
            </w:r>
          </w:p>
          <w:p w14:paraId="3E7D38A4">
            <w:pPr>
              <w:pStyle w:val="14"/>
              <w:widowControl w:val="0"/>
              <w:jc w:val="left"/>
              <w:rPr>
                <w:bCs/>
              </w:rPr>
            </w:pPr>
            <w:r>
              <w:rPr>
                <w:rFonts w:cs="Times New Roman"/>
                <w:bCs/>
              </w:rPr>
              <w:t>Markets</w:t>
            </w:r>
          </w:p>
        </w:tc>
        <w:tc>
          <w:tcPr>
            <w:tcW w:w="2659" w:type="dxa"/>
            <w:vAlign w:val="center"/>
          </w:tcPr>
          <w:p w14:paraId="64F2BBD3">
            <w:pPr>
              <w:widowControl w:val="0"/>
              <w:snapToGrid w:val="0"/>
              <w:jc w:val="left"/>
              <w:rPr>
                <w:rFonts w:ascii="Times New Roman" w:hAnsi="Times New Roman"/>
                <w:bCs/>
                <w:sz w:val="21"/>
                <w:szCs w:val="21"/>
              </w:rPr>
            </w:pPr>
            <w:r>
              <w:rPr>
                <w:rFonts w:hint="eastAsia" w:ascii="Times New Roman" w:hAnsi="Times New Roman"/>
                <w:bCs/>
                <w:sz w:val="21"/>
                <w:szCs w:val="21"/>
              </w:rPr>
              <w:t>讲述教学，任务教学，多媒体教学</w:t>
            </w:r>
          </w:p>
        </w:tc>
        <w:tc>
          <w:tcPr>
            <w:tcW w:w="1687" w:type="dxa"/>
            <w:vAlign w:val="center"/>
          </w:tcPr>
          <w:p w14:paraId="4F1C7C19">
            <w:pPr>
              <w:widowControl w:val="0"/>
              <w:snapToGrid w:val="0"/>
              <w:jc w:val="left"/>
              <w:rPr>
                <w:rFonts w:ascii="Times New Roman" w:hAnsi="Times New Roman"/>
                <w:bCs/>
                <w:sz w:val="21"/>
                <w:szCs w:val="21"/>
              </w:rPr>
            </w:pPr>
            <w:r>
              <w:rPr>
                <w:rFonts w:hint="eastAsia" w:ascii="Times New Roman" w:hAnsi="Times New Roman"/>
                <w:bCs/>
                <w:sz w:val="21"/>
                <w:szCs w:val="21"/>
              </w:rPr>
              <w:t>课堂观察，口头评价，听写练习，课后作业</w:t>
            </w:r>
          </w:p>
        </w:tc>
        <w:tc>
          <w:tcPr>
            <w:tcW w:w="710" w:type="dxa"/>
            <w:vAlign w:val="center"/>
          </w:tcPr>
          <w:p w14:paraId="12D19AE2">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c>
          <w:tcPr>
            <w:tcW w:w="659" w:type="dxa"/>
            <w:vAlign w:val="center"/>
          </w:tcPr>
          <w:p w14:paraId="0E2F94BD">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704" w:type="dxa"/>
            <w:tcBorders>
              <w:right w:val="single" w:color="auto" w:sz="12" w:space="0"/>
            </w:tcBorders>
            <w:vAlign w:val="center"/>
          </w:tcPr>
          <w:p w14:paraId="5269D8D2">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2F6B5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57" w:type="dxa"/>
            <w:tcBorders>
              <w:left w:val="single" w:color="auto" w:sz="12" w:space="0"/>
            </w:tcBorders>
          </w:tcPr>
          <w:p w14:paraId="29725C9A">
            <w:pPr>
              <w:pStyle w:val="14"/>
              <w:widowControl w:val="0"/>
              <w:jc w:val="left"/>
              <w:rPr>
                <w:rFonts w:cs="Times New Roman"/>
              </w:rPr>
            </w:pPr>
            <w:r>
              <w:rPr>
                <w:rFonts w:hint="eastAsia" w:ascii="宋体" w:hAnsi="宋体"/>
              </w:rPr>
              <w:t>第二单元</w:t>
            </w:r>
            <w:r>
              <w:rPr>
                <w:rFonts w:cs="Times New Roman"/>
              </w:rPr>
              <w:t xml:space="preserve"> </w:t>
            </w:r>
          </w:p>
          <w:p w14:paraId="12262BED">
            <w:pPr>
              <w:pStyle w:val="14"/>
              <w:widowControl w:val="0"/>
              <w:jc w:val="left"/>
              <w:rPr>
                <w:bCs/>
              </w:rPr>
            </w:pPr>
            <w:r>
              <w:rPr>
                <w:rFonts w:cs="Times New Roman"/>
              </w:rPr>
              <w:t>Brands</w:t>
            </w:r>
          </w:p>
        </w:tc>
        <w:tc>
          <w:tcPr>
            <w:tcW w:w="2659" w:type="dxa"/>
            <w:vAlign w:val="center"/>
          </w:tcPr>
          <w:p w14:paraId="5D6FEE06">
            <w:pPr>
              <w:widowControl w:val="0"/>
              <w:snapToGrid w:val="0"/>
              <w:jc w:val="left"/>
              <w:rPr>
                <w:rFonts w:ascii="Times New Roman" w:hAnsi="Times New Roman"/>
                <w:bCs/>
                <w:sz w:val="21"/>
                <w:szCs w:val="21"/>
              </w:rPr>
            </w:pPr>
            <w:r>
              <w:rPr>
                <w:rFonts w:hint="eastAsia" w:ascii="Times New Roman" w:hAnsi="Times New Roman"/>
                <w:bCs/>
                <w:sz w:val="21"/>
                <w:szCs w:val="21"/>
              </w:rPr>
              <w:t>讲述教学，任务教学，多媒体教学</w:t>
            </w:r>
          </w:p>
        </w:tc>
        <w:tc>
          <w:tcPr>
            <w:tcW w:w="1687" w:type="dxa"/>
            <w:vAlign w:val="center"/>
          </w:tcPr>
          <w:p w14:paraId="2A0B4E99">
            <w:pPr>
              <w:widowControl w:val="0"/>
              <w:snapToGrid w:val="0"/>
              <w:jc w:val="left"/>
              <w:rPr>
                <w:rFonts w:ascii="Times New Roman" w:hAnsi="Times New Roman"/>
                <w:bCs/>
                <w:sz w:val="21"/>
                <w:szCs w:val="21"/>
              </w:rPr>
            </w:pPr>
            <w:r>
              <w:rPr>
                <w:rFonts w:hint="eastAsia" w:ascii="Times New Roman" w:hAnsi="Times New Roman"/>
                <w:bCs/>
                <w:sz w:val="21"/>
                <w:szCs w:val="21"/>
              </w:rPr>
              <w:t>课堂观察，口头评价，听写练习，课后作业</w:t>
            </w:r>
          </w:p>
        </w:tc>
        <w:tc>
          <w:tcPr>
            <w:tcW w:w="710" w:type="dxa"/>
            <w:vAlign w:val="center"/>
          </w:tcPr>
          <w:p w14:paraId="0ED30513">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c>
          <w:tcPr>
            <w:tcW w:w="659" w:type="dxa"/>
            <w:vAlign w:val="center"/>
          </w:tcPr>
          <w:p w14:paraId="507653F0">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704" w:type="dxa"/>
            <w:tcBorders>
              <w:right w:val="single" w:color="auto" w:sz="12" w:space="0"/>
            </w:tcBorders>
            <w:vAlign w:val="center"/>
          </w:tcPr>
          <w:p w14:paraId="667EF434">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3E1DA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57" w:type="dxa"/>
            <w:tcBorders>
              <w:left w:val="single" w:color="auto" w:sz="12" w:space="0"/>
            </w:tcBorders>
          </w:tcPr>
          <w:p w14:paraId="44D45CF2">
            <w:pPr>
              <w:pStyle w:val="14"/>
              <w:widowControl w:val="0"/>
              <w:jc w:val="left"/>
              <w:rPr>
                <w:bCs/>
              </w:rPr>
            </w:pPr>
            <w:r>
              <w:rPr>
                <w:rFonts w:hint="eastAsia" w:ascii="宋体" w:hAnsi="宋体"/>
              </w:rPr>
              <w:t xml:space="preserve">第三单元 </w:t>
            </w:r>
            <w:r>
              <w:rPr>
                <w:rFonts w:cs="Times New Roman"/>
              </w:rPr>
              <w:t>Communication</w:t>
            </w:r>
          </w:p>
        </w:tc>
        <w:tc>
          <w:tcPr>
            <w:tcW w:w="2659" w:type="dxa"/>
            <w:vAlign w:val="center"/>
          </w:tcPr>
          <w:p w14:paraId="21FE9166">
            <w:pPr>
              <w:widowControl w:val="0"/>
              <w:snapToGrid w:val="0"/>
              <w:jc w:val="left"/>
              <w:rPr>
                <w:rFonts w:ascii="Times New Roman" w:hAnsi="Times New Roman"/>
                <w:bCs/>
                <w:sz w:val="21"/>
                <w:szCs w:val="21"/>
              </w:rPr>
            </w:pPr>
            <w:r>
              <w:rPr>
                <w:rFonts w:hint="eastAsia" w:ascii="Times New Roman" w:hAnsi="Times New Roman"/>
                <w:bCs/>
                <w:sz w:val="21"/>
                <w:szCs w:val="21"/>
              </w:rPr>
              <w:t>讲述教学，任务教学，多媒体教学</w:t>
            </w:r>
          </w:p>
        </w:tc>
        <w:tc>
          <w:tcPr>
            <w:tcW w:w="1687" w:type="dxa"/>
            <w:vAlign w:val="center"/>
          </w:tcPr>
          <w:p w14:paraId="3E1CB598">
            <w:pPr>
              <w:widowControl w:val="0"/>
              <w:snapToGrid w:val="0"/>
              <w:jc w:val="left"/>
              <w:rPr>
                <w:rFonts w:ascii="Times New Roman" w:hAnsi="Times New Roman"/>
                <w:bCs/>
                <w:sz w:val="21"/>
                <w:szCs w:val="21"/>
              </w:rPr>
            </w:pPr>
            <w:r>
              <w:rPr>
                <w:rFonts w:hint="eastAsia" w:ascii="Times New Roman" w:hAnsi="Times New Roman"/>
                <w:bCs/>
                <w:sz w:val="21"/>
                <w:szCs w:val="21"/>
              </w:rPr>
              <w:t>课堂观察，口头评价，听写练习，课后作业</w:t>
            </w:r>
          </w:p>
        </w:tc>
        <w:tc>
          <w:tcPr>
            <w:tcW w:w="710" w:type="dxa"/>
            <w:vAlign w:val="center"/>
          </w:tcPr>
          <w:p w14:paraId="6E6F6341">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c>
          <w:tcPr>
            <w:tcW w:w="659" w:type="dxa"/>
            <w:vAlign w:val="center"/>
          </w:tcPr>
          <w:p w14:paraId="423FA90D">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704" w:type="dxa"/>
            <w:tcBorders>
              <w:right w:val="single" w:color="auto" w:sz="12" w:space="0"/>
            </w:tcBorders>
            <w:vAlign w:val="center"/>
          </w:tcPr>
          <w:p w14:paraId="1F453C0E">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7840F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57" w:type="dxa"/>
            <w:tcBorders>
              <w:left w:val="single" w:color="auto" w:sz="12" w:space="0"/>
            </w:tcBorders>
          </w:tcPr>
          <w:p w14:paraId="11B1AFA2">
            <w:pPr>
              <w:pStyle w:val="14"/>
              <w:widowControl w:val="0"/>
              <w:jc w:val="left"/>
              <w:rPr>
                <w:bCs/>
              </w:rPr>
            </w:pPr>
            <w:r>
              <w:rPr>
                <w:rFonts w:hint="eastAsia" w:ascii="宋体" w:hAnsi="宋体"/>
              </w:rPr>
              <w:t xml:space="preserve">第四单元 </w:t>
            </w:r>
            <w:r>
              <w:rPr>
                <w:rFonts w:cs="Times New Roman"/>
              </w:rPr>
              <w:t>Logistics</w:t>
            </w:r>
          </w:p>
        </w:tc>
        <w:tc>
          <w:tcPr>
            <w:tcW w:w="2659" w:type="dxa"/>
            <w:vAlign w:val="center"/>
          </w:tcPr>
          <w:p w14:paraId="68AB8FCC">
            <w:pPr>
              <w:widowControl w:val="0"/>
              <w:snapToGrid w:val="0"/>
              <w:jc w:val="left"/>
              <w:rPr>
                <w:rFonts w:ascii="Times New Roman" w:hAnsi="Times New Roman"/>
                <w:bCs/>
                <w:sz w:val="21"/>
                <w:szCs w:val="21"/>
              </w:rPr>
            </w:pPr>
            <w:r>
              <w:rPr>
                <w:rFonts w:hint="eastAsia" w:ascii="Times New Roman" w:hAnsi="Times New Roman"/>
                <w:bCs/>
                <w:sz w:val="21"/>
                <w:szCs w:val="21"/>
              </w:rPr>
              <w:t>讲述教学，任务教学，多媒体教学</w:t>
            </w:r>
          </w:p>
        </w:tc>
        <w:tc>
          <w:tcPr>
            <w:tcW w:w="1687" w:type="dxa"/>
            <w:vAlign w:val="center"/>
          </w:tcPr>
          <w:p w14:paraId="18B87CEC">
            <w:pPr>
              <w:widowControl w:val="0"/>
              <w:snapToGrid w:val="0"/>
              <w:jc w:val="left"/>
              <w:rPr>
                <w:rFonts w:ascii="Times New Roman" w:hAnsi="Times New Roman"/>
                <w:bCs/>
                <w:sz w:val="21"/>
                <w:szCs w:val="21"/>
              </w:rPr>
            </w:pPr>
            <w:r>
              <w:rPr>
                <w:rFonts w:hint="eastAsia" w:ascii="Times New Roman" w:hAnsi="Times New Roman"/>
                <w:bCs/>
                <w:sz w:val="21"/>
                <w:szCs w:val="21"/>
              </w:rPr>
              <w:t>课堂观察，口头评价，听写练习，课后作业</w:t>
            </w:r>
          </w:p>
        </w:tc>
        <w:tc>
          <w:tcPr>
            <w:tcW w:w="710" w:type="dxa"/>
            <w:vAlign w:val="center"/>
          </w:tcPr>
          <w:p w14:paraId="789D2E37">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c>
          <w:tcPr>
            <w:tcW w:w="659" w:type="dxa"/>
            <w:vAlign w:val="center"/>
          </w:tcPr>
          <w:p w14:paraId="4102F4EF">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704" w:type="dxa"/>
            <w:tcBorders>
              <w:right w:val="single" w:color="auto" w:sz="12" w:space="0"/>
            </w:tcBorders>
            <w:vAlign w:val="center"/>
          </w:tcPr>
          <w:p w14:paraId="297B3F88">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70574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57" w:type="dxa"/>
            <w:tcBorders>
              <w:left w:val="single" w:color="auto" w:sz="12" w:space="0"/>
            </w:tcBorders>
          </w:tcPr>
          <w:p w14:paraId="6FFF446F">
            <w:pPr>
              <w:pStyle w:val="14"/>
              <w:widowControl w:val="0"/>
              <w:jc w:val="left"/>
              <w:rPr>
                <w:bCs/>
              </w:rPr>
            </w:pPr>
            <w:r>
              <w:rPr>
                <w:rFonts w:hint="eastAsia" w:ascii="宋体" w:hAnsi="宋体"/>
              </w:rPr>
              <w:t xml:space="preserve">第五单元 </w:t>
            </w:r>
            <w:r>
              <w:rPr>
                <w:rFonts w:cs="Times New Roman"/>
              </w:rPr>
              <w:t>Innovation</w:t>
            </w:r>
          </w:p>
        </w:tc>
        <w:tc>
          <w:tcPr>
            <w:tcW w:w="2659" w:type="dxa"/>
            <w:vAlign w:val="center"/>
          </w:tcPr>
          <w:p w14:paraId="2EF14C0A">
            <w:pPr>
              <w:widowControl w:val="0"/>
              <w:snapToGrid w:val="0"/>
              <w:jc w:val="left"/>
              <w:rPr>
                <w:rFonts w:ascii="Times New Roman" w:hAnsi="Times New Roman"/>
                <w:bCs/>
                <w:sz w:val="21"/>
                <w:szCs w:val="21"/>
              </w:rPr>
            </w:pPr>
            <w:r>
              <w:rPr>
                <w:rFonts w:hint="eastAsia" w:ascii="Times New Roman" w:hAnsi="Times New Roman"/>
                <w:bCs/>
                <w:sz w:val="21"/>
                <w:szCs w:val="21"/>
              </w:rPr>
              <w:t>讲述教学，任务教学，多媒体教学</w:t>
            </w:r>
          </w:p>
        </w:tc>
        <w:tc>
          <w:tcPr>
            <w:tcW w:w="1687" w:type="dxa"/>
            <w:vAlign w:val="center"/>
          </w:tcPr>
          <w:p w14:paraId="79FEDCE4">
            <w:pPr>
              <w:widowControl w:val="0"/>
              <w:snapToGrid w:val="0"/>
              <w:jc w:val="left"/>
              <w:rPr>
                <w:rFonts w:ascii="Times New Roman" w:hAnsi="Times New Roman"/>
                <w:bCs/>
                <w:sz w:val="21"/>
                <w:szCs w:val="21"/>
              </w:rPr>
            </w:pPr>
            <w:r>
              <w:rPr>
                <w:rFonts w:hint="eastAsia" w:ascii="Times New Roman" w:hAnsi="Times New Roman"/>
                <w:bCs/>
                <w:sz w:val="21"/>
                <w:szCs w:val="21"/>
              </w:rPr>
              <w:t>课堂观察，口头评价，听力测试，课后作业</w:t>
            </w:r>
          </w:p>
        </w:tc>
        <w:tc>
          <w:tcPr>
            <w:tcW w:w="710" w:type="dxa"/>
            <w:vAlign w:val="center"/>
          </w:tcPr>
          <w:p w14:paraId="416D1F0C">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c>
          <w:tcPr>
            <w:tcW w:w="659" w:type="dxa"/>
            <w:vAlign w:val="center"/>
          </w:tcPr>
          <w:p w14:paraId="124CF1E5">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704" w:type="dxa"/>
            <w:tcBorders>
              <w:right w:val="single" w:color="auto" w:sz="12" w:space="0"/>
            </w:tcBorders>
            <w:vAlign w:val="center"/>
          </w:tcPr>
          <w:p w14:paraId="2CE88C33">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7A359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57" w:type="dxa"/>
            <w:tcBorders>
              <w:left w:val="single" w:color="auto" w:sz="12" w:space="0"/>
            </w:tcBorders>
          </w:tcPr>
          <w:p w14:paraId="644B1D2C">
            <w:pPr>
              <w:pStyle w:val="14"/>
              <w:widowControl w:val="0"/>
              <w:jc w:val="left"/>
              <w:rPr>
                <w:rFonts w:hint="eastAsia" w:ascii="宋体" w:hAnsi="宋体"/>
              </w:rPr>
            </w:pPr>
            <w:r>
              <w:rPr>
                <w:rFonts w:hint="eastAsia" w:ascii="宋体" w:hAnsi="宋体"/>
              </w:rPr>
              <w:t xml:space="preserve">第六单元 </w:t>
            </w:r>
          </w:p>
          <w:p w14:paraId="0E16AE78">
            <w:pPr>
              <w:pStyle w:val="14"/>
              <w:widowControl w:val="0"/>
              <w:jc w:val="left"/>
              <w:rPr>
                <w:bCs/>
              </w:rPr>
            </w:pPr>
            <w:r>
              <w:rPr>
                <w:rFonts w:cs="Times New Roman"/>
              </w:rPr>
              <w:t>P</w:t>
            </w:r>
            <w:r>
              <w:rPr>
                <w:rFonts w:hint="eastAsia" w:cs="Times New Roman"/>
              </w:rPr>
              <w:t>ro</w:t>
            </w:r>
            <w:r>
              <w:rPr>
                <w:rFonts w:cs="Times New Roman"/>
              </w:rPr>
              <w:t>jects</w:t>
            </w:r>
          </w:p>
        </w:tc>
        <w:tc>
          <w:tcPr>
            <w:tcW w:w="2659" w:type="dxa"/>
            <w:vAlign w:val="center"/>
          </w:tcPr>
          <w:p w14:paraId="172FF987">
            <w:pPr>
              <w:widowControl w:val="0"/>
              <w:snapToGrid w:val="0"/>
              <w:jc w:val="left"/>
              <w:rPr>
                <w:rFonts w:ascii="Times New Roman" w:hAnsi="Times New Roman"/>
                <w:bCs/>
                <w:sz w:val="21"/>
                <w:szCs w:val="21"/>
              </w:rPr>
            </w:pPr>
            <w:r>
              <w:rPr>
                <w:rFonts w:hint="eastAsia" w:ascii="Times New Roman" w:hAnsi="Times New Roman"/>
                <w:bCs/>
                <w:sz w:val="21"/>
                <w:szCs w:val="21"/>
              </w:rPr>
              <w:t>讲述教学，任务教学，多媒体教学</w:t>
            </w:r>
          </w:p>
        </w:tc>
        <w:tc>
          <w:tcPr>
            <w:tcW w:w="1687" w:type="dxa"/>
            <w:vAlign w:val="center"/>
          </w:tcPr>
          <w:p w14:paraId="268471E8">
            <w:pPr>
              <w:widowControl w:val="0"/>
              <w:snapToGrid w:val="0"/>
              <w:jc w:val="left"/>
              <w:rPr>
                <w:rFonts w:ascii="Times New Roman" w:hAnsi="Times New Roman"/>
                <w:bCs/>
                <w:sz w:val="21"/>
                <w:szCs w:val="21"/>
              </w:rPr>
            </w:pPr>
            <w:r>
              <w:rPr>
                <w:rFonts w:hint="eastAsia" w:ascii="Times New Roman" w:hAnsi="Times New Roman"/>
                <w:bCs/>
                <w:sz w:val="21"/>
                <w:szCs w:val="21"/>
              </w:rPr>
              <w:t>课堂观察，口头评价，听写练习，课后作业</w:t>
            </w:r>
          </w:p>
        </w:tc>
        <w:tc>
          <w:tcPr>
            <w:tcW w:w="710" w:type="dxa"/>
            <w:vAlign w:val="center"/>
          </w:tcPr>
          <w:p w14:paraId="42129E28">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c>
          <w:tcPr>
            <w:tcW w:w="659" w:type="dxa"/>
            <w:vAlign w:val="center"/>
          </w:tcPr>
          <w:p w14:paraId="5F4A4C4E">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704" w:type="dxa"/>
            <w:tcBorders>
              <w:right w:val="single" w:color="auto" w:sz="12" w:space="0"/>
            </w:tcBorders>
            <w:vAlign w:val="center"/>
          </w:tcPr>
          <w:p w14:paraId="405E3C21">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597AC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57" w:type="dxa"/>
            <w:tcBorders>
              <w:left w:val="single" w:color="auto" w:sz="12" w:space="0"/>
            </w:tcBorders>
          </w:tcPr>
          <w:p w14:paraId="1D353267">
            <w:pPr>
              <w:pStyle w:val="14"/>
              <w:widowControl w:val="0"/>
              <w:jc w:val="left"/>
              <w:rPr>
                <w:bCs/>
              </w:rPr>
            </w:pPr>
            <w:r>
              <w:rPr>
                <w:rFonts w:hint="eastAsia" w:ascii="宋体" w:hAnsi="宋体"/>
              </w:rPr>
              <w:t>第七单元</w:t>
            </w:r>
            <w:r>
              <w:rPr>
                <w:rFonts w:cs="Times New Roman"/>
              </w:rPr>
              <w:t>Technology</w:t>
            </w:r>
          </w:p>
        </w:tc>
        <w:tc>
          <w:tcPr>
            <w:tcW w:w="2659" w:type="dxa"/>
            <w:vAlign w:val="center"/>
          </w:tcPr>
          <w:p w14:paraId="1CDB4FE5">
            <w:pPr>
              <w:widowControl w:val="0"/>
              <w:snapToGrid w:val="0"/>
              <w:jc w:val="left"/>
              <w:rPr>
                <w:rFonts w:ascii="Times New Roman" w:hAnsi="Times New Roman"/>
                <w:bCs/>
                <w:sz w:val="21"/>
                <w:szCs w:val="21"/>
              </w:rPr>
            </w:pPr>
            <w:r>
              <w:rPr>
                <w:rFonts w:hint="eastAsia" w:ascii="Times New Roman" w:hAnsi="Times New Roman"/>
                <w:bCs/>
                <w:sz w:val="21"/>
                <w:szCs w:val="21"/>
              </w:rPr>
              <w:t>讲述教学，任务教学，多媒体教学</w:t>
            </w:r>
          </w:p>
        </w:tc>
        <w:tc>
          <w:tcPr>
            <w:tcW w:w="1687" w:type="dxa"/>
            <w:vAlign w:val="center"/>
          </w:tcPr>
          <w:p w14:paraId="2494B9B1">
            <w:pPr>
              <w:widowControl w:val="0"/>
              <w:snapToGrid w:val="0"/>
              <w:jc w:val="left"/>
              <w:rPr>
                <w:rFonts w:ascii="Times New Roman" w:hAnsi="Times New Roman"/>
                <w:bCs/>
                <w:sz w:val="21"/>
                <w:szCs w:val="21"/>
              </w:rPr>
            </w:pPr>
            <w:r>
              <w:rPr>
                <w:rFonts w:hint="eastAsia" w:ascii="Times New Roman" w:hAnsi="Times New Roman"/>
                <w:bCs/>
                <w:sz w:val="21"/>
                <w:szCs w:val="21"/>
              </w:rPr>
              <w:t>课堂观察，口头评价，听写练习，课后作业</w:t>
            </w:r>
          </w:p>
        </w:tc>
        <w:tc>
          <w:tcPr>
            <w:tcW w:w="710" w:type="dxa"/>
            <w:vAlign w:val="center"/>
          </w:tcPr>
          <w:p w14:paraId="78A4894C">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c>
          <w:tcPr>
            <w:tcW w:w="659" w:type="dxa"/>
            <w:vAlign w:val="center"/>
          </w:tcPr>
          <w:p w14:paraId="5B342C2F">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704" w:type="dxa"/>
            <w:tcBorders>
              <w:right w:val="single" w:color="auto" w:sz="12" w:space="0"/>
            </w:tcBorders>
            <w:vAlign w:val="center"/>
          </w:tcPr>
          <w:p w14:paraId="7B8FDF69">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1F8E3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57" w:type="dxa"/>
            <w:tcBorders>
              <w:left w:val="single" w:color="auto" w:sz="12" w:space="0"/>
            </w:tcBorders>
          </w:tcPr>
          <w:p w14:paraId="55EEA0F0">
            <w:pPr>
              <w:pStyle w:val="14"/>
              <w:widowControl w:val="0"/>
              <w:jc w:val="left"/>
              <w:rPr>
                <w:bCs/>
              </w:rPr>
            </w:pPr>
            <w:r>
              <w:rPr>
                <w:rFonts w:hint="eastAsia" w:ascii="宋体" w:hAnsi="宋体"/>
              </w:rPr>
              <w:t xml:space="preserve">第八单元 </w:t>
            </w:r>
            <w:r>
              <w:rPr>
                <w:rFonts w:cs="Times New Roman"/>
              </w:rPr>
              <w:t>Competition</w:t>
            </w:r>
          </w:p>
        </w:tc>
        <w:tc>
          <w:tcPr>
            <w:tcW w:w="2659" w:type="dxa"/>
            <w:vAlign w:val="center"/>
          </w:tcPr>
          <w:p w14:paraId="3EA0EBDB">
            <w:pPr>
              <w:widowControl w:val="0"/>
              <w:snapToGrid w:val="0"/>
              <w:jc w:val="left"/>
              <w:rPr>
                <w:rFonts w:ascii="Times New Roman" w:hAnsi="Times New Roman"/>
                <w:bCs/>
                <w:sz w:val="21"/>
                <w:szCs w:val="21"/>
              </w:rPr>
            </w:pPr>
            <w:r>
              <w:rPr>
                <w:rFonts w:hint="eastAsia" w:ascii="Times New Roman" w:hAnsi="Times New Roman"/>
                <w:bCs/>
                <w:sz w:val="21"/>
                <w:szCs w:val="21"/>
              </w:rPr>
              <w:t>讲述教学，任务教学，多媒体教学</w:t>
            </w:r>
          </w:p>
        </w:tc>
        <w:tc>
          <w:tcPr>
            <w:tcW w:w="1687" w:type="dxa"/>
            <w:vAlign w:val="center"/>
          </w:tcPr>
          <w:p w14:paraId="3E851424">
            <w:pPr>
              <w:widowControl w:val="0"/>
              <w:snapToGrid w:val="0"/>
              <w:jc w:val="left"/>
              <w:rPr>
                <w:rFonts w:ascii="Times New Roman" w:hAnsi="Times New Roman"/>
                <w:bCs/>
                <w:sz w:val="21"/>
                <w:szCs w:val="21"/>
              </w:rPr>
            </w:pPr>
            <w:r>
              <w:rPr>
                <w:rFonts w:hint="eastAsia" w:ascii="Times New Roman" w:hAnsi="Times New Roman"/>
                <w:bCs/>
                <w:sz w:val="21"/>
                <w:szCs w:val="21"/>
              </w:rPr>
              <w:t>课堂观察，口头评价，听写练习，课后作业</w:t>
            </w:r>
          </w:p>
        </w:tc>
        <w:tc>
          <w:tcPr>
            <w:tcW w:w="710" w:type="dxa"/>
            <w:vAlign w:val="center"/>
          </w:tcPr>
          <w:p w14:paraId="12626BEB">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c>
          <w:tcPr>
            <w:tcW w:w="659" w:type="dxa"/>
            <w:vAlign w:val="center"/>
          </w:tcPr>
          <w:p w14:paraId="64D2CABE">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704" w:type="dxa"/>
            <w:tcBorders>
              <w:right w:val="single" w:color="auto" w:sz="12" w:space="0"/>
            </w:tcBorders>
            <w:vAlign w:val="center"/>
          </w:tcPr>
          <w:p w14:paraId="05B8D9F5">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27DF8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03" w:type="dxa"/>
            <w:gridSpan w:val="3"/>
            <w:tcBorders>
              <w:left w:val="single" w:color="auto" w:sz="12" w:space="0"/>
              <w:bottom w:val="single" w:color="auto" w:sz="12" w:space="0"/>
            </w:tcBorders>
            <w:vAlign w:val="center"/>
          </w:tcPr>
          <w:p w14:paraId="33945A86">
            <w:pPr>
              <w:pStyle w:val="13"/>
              <w:widowControl w:val="0"/>
            </w:pPr>
            <w:r>
              <w:rPr>
                <w:rFonts w:hint="eastAsia"/>
              </w:rPr>
              <w:t>合计</w:t>
            </w:r>
          </w:p>
        </w:tc>
        <w:tc>
          <w:tcPr>
            <w:tcW w:w="710" w:type="dxa"/>
            <w:tcBorders>
              <w:bottom w:val="single" w:color="auto" w:sz="12" w:space="0"/>
            </w:tcBorders>
            <w:vAlign w:val="center"/>
          </w:tcPr>
          <w:p w14:paraId="5D618A57">
            <w:pPr>
              <w:widowControl w:val="0"/>
              <w:snapToGrid w:val="0"/>
              <w:jc w:val="center"/>
              <w:rPr>
                <w:rFonts w:ascii="Times New Roman" w:hAnsi="Times New Roman"/>
                <w:bCs/>
                <w:sz w:val="21"/>
                <w:szCs w:val="21"/>
              </w:rPr>
            </w:pPr>
            <w:r>
              <w:rPr>
                <w:rFonts w:hint="eastAsia" w:ascii="Times New Roman" w:hAnsi="Times New Roman"/>
                <w:bCs/>
                <w:sz w:val="21"/>
                <w:szCs w:val="21"/>
              </w:rPr>
              <w:t>2</w:t>
            </w:r>
            <w:r>
              <w:rPr>
                <w:rFonts w:ascii="Times New Roman" w:hAnsi="Times New Roman"/>
                <w:bCs/>
                <w:sz w:val="21"/>
                <w:szCs w:val="21"/>
              </w:rPr>
              <w:t>4</w:t>
            </w:r>
          </w:p>
        </w:tc>
        <w:tc>
          <w:tcPr>
            <w:tcW w:w="659" w:type="dxa"/>
            <w:tcBorders>
              <w:bottom w:val="single" w:color="auto" w:sz="12" w:space="0"/>
            </w:tcBorders>
            <w:vAlign w:val="center"/>
          </w:tcPr>
          <w:p w14:paraId="02050646">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c>
          <w:tcPr>
            <w:tcW w:w="704" w:type="dxa"/>
            <w:tcBorders>
              <w:bottom w:val="single" w:color="auto" w:sz="12" w:space="0"/>
              <w:right w:val="single" w:color="auto" w:sz="12" w:space="0"/>
            </w:tcBorders>
            <w:vAlign w:val="center"/>
          </w:tcPr>
          <w:p w14:paraId="15CE56AB">
            <w:pPr>
              <w:widowControl w:val="0"/>
              <w:snapToGrid w:val="0"/>
              <w:jc w:val="center"/>
              <w:rPr>
                <w:rFonts w:ascii="Times New Roman" w:hAnsi="Times New Roman"/>
                <w:bCs/>
                <w:sz w:val="21"/>
                <w:szCs w:val="21"/>
              </w:rPr>
            </w:pPr>
            <w:r>
              <w:rPr>
                <w:rFonts w:hint="eastAsia" w:ascii="Times New Roman" w:hAnsi="Times New Roman"/>
                <w:bCs/>
                <w:sz w:val="21"/>
                <w:szCs w:val="21"/>
              </w:rPr>
              <w:t>32</w:t>
            </w:r>
          </w:p>
        </w:tc>
      </w:tr>
    </w:tbl>
    <w:p w14:paraId="45C4F00F">
      <w:pPr>
        <w:pStyle w:val="17"/>
        <w:spacing w:before="326" w:beforeLines="100" w:after="163"/>
      </w:pPr>
      <w:r>
        <w:rPr>
          <w:rFonts w:hint="eastAsia"/>
        </w:rPr>
        <w:t>（四）课内实验项目与基本要求</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2"/>
        <w:gridCol w:w="1881"/>
        <w:gridCol w:w="4054"/>
        <w:gridCol w:w="864"/>
        <w:gridCol w:w="952"/>
      </w:tblGrid>
      <w:tr w14:paraId="4A16A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14:paraId="2F3A5820">
            <w:pPr>
              <w:pStyle w:val="13"/>
              <w:rPr>
                <w:szCs w:val="16"/>
              </w:rPr>
            </w:pPr>
            <w:r>
              <w:rPr>
                <w:rFonts w:hint="eastAsia"/>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6C5393F2">
            <w:pPr>
              <w:pStyle w:val="13"/>
              <w:rPr>
                <w:szCs w:val="16"/>
              </w:rPr>
            </w:pPr>
            <w:r>
              <w:rPr>
                <w:rFonts w:hint="eastAsia"/>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14:paraId="5D5FA053">
            <w:pPr>
              <w:pStyle w:val="13"/>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14:paraId="38968245">
            <w:pPr>
              <w:pStyle w:val="13"/>
              <w:rPr>
                <w:szCs w:val="16"/>
              </w:rPr>
            </w:pPr>
            <w:r>
              <w:rPr>
                <w:rFonts w:hint="eastAsia"/>
                <w:szCs w:val="16"/>
              </w:rPr>
              <w:t>实验</w:t>
            </w:r>
          </w:p>
          <w:p w14:paraId="01105D0C">
            <w:pPr>
              <w:pStyle w:val="13"/>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6BCE4FE0">
            <w:pPr>
              <w:pStyle w:val="13"/>
              <w:rPr>
                <w:szCs w:val="16"/>
              </w:rPr>
            </w:pPr>
            <w:r>
              <w:rPr>
                <w:rFonts w:hint="eastAsia"/>
                <w:szCs w:val="16"/>
              </w:rPr>
              <w:t>实验</w:t>
            </w:r>
          </w:p>
          <w:p w14:paraId="64DB3F42">
            <w:pPr>
              <w:pStyle w:val="13"/>
              <w:rPr>
                <w:szCs w:val="16"/>
              </w:rPr>
            </w:pPr>
            <w:r>
              <w:rPr>
                <w:rFonts w:hint="eastAsia"/>
                <w:szCs w:val="16"/>
              </w:rPr>
              <w:t>类型</w:t>
            </w:r>
          </w:p>
        </w:tc>
      </w:tr>
      <w:tr w14:paraId="5DC5E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623DF6EC">
            <w:pPr>
              <w:pStyle w:val="14"/>
            </w:pPr>
            <w:r>
              <w:rPr>
                <w:rFonts w:hint="eastAsia"/>
              </w:rPr>
              <w:t>1</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7E36A741">
            <w:pPr>
              <w:pStyle w:val="14"/>
              <w:jc w:val="left"/>
            </w:pPr>
            <w:r>
              <w:rPr>
                <w:rFonts w:hint="eastAsia"/>
              </w:rPr>
              <w:t>与教学单元相关主题的课外扩展阅读</w:t>
            </w:r>
          </w:p>
        </w:tc>
        <w:tc>
          <w:tcPr>
            <w:tcW w:w="4061" w:type="dxa"/>
            <w:tcBorders>
              <w:top w:val="single" w:color="auto" w:sz="4" w:space="0"/>
              <w:left w:val="single" w:color="auto" w:sz="4" w:space="0"/>
              <w:bottom w:val="single" w:color="auto" w:sz="4" w:space="0"/>
              <w:right w:val="single" w:color="auto" w:sz="4" w:space="0"/>
            </w:tcBorders>
            <w:vAlign w:val="center"/>
          </w:tcPr>
          <w:p w14:paraId="11BB5B8E">
            <w:pPr>
              <w:pStyle w:val="14"/>
              <w:jc w:val="left"/>
            </w:pPr>
            <w:r>
              <w:rPr>
                <w:rFonts w:hint="eastAsia"/>
              </w:rPr>
              <w:t>要求学生结合课程每单元主题，课外搜索：1、阅读相关的商务入门知识；2、选读相关的中国经济新闻资讯（英文版）并在课堂口头分享对选读资讯内容的个人思考。</w:t>
            </w:r>
          </w:p>
        </w:tc>
        <w:tc>
          <w:tcPr>
            <w:tcW w:w="862" w:type="dxa"/>
            <w:tcBorders>
              <w:left w:val="single" w:color="auto" w:sz="4" w:space="0"/>
              <w:right w:val="single" w:color="auto" w:sz="4" w:space="0"/>
            </w:tcBorders>
            <w:shd w:val="clear" w:color="auto" w:fill="auto"/>
            <w:vAlign w:val="center"/>
          </w:tcPr>
          <w:p w14:paraId="5BB422A3">
            <w:pPr>
              <w:pStyle w:val="14"/>
              <w:rPr>
                <w:rFonts w:hint="eastAsia"/>
              </w:rPr>
            </w:pPr>
            <w:r>
              <w:rPr>
                <w:rFonts w:hint="eastAsia"/>
              </w:rPr>
              <w:t>6</w:t>
            </w:r>
          </w:p>
        </w:tc>
        <w:tc>
          <w:tcPr>
            <w:tcW w:w="950" w:type="dxa"/>
            <w:tcBorders>
              <w:left w:val="single" w:color="auto" w:sz="4" w:space="0"/>
              <w:right w:val="single" w:color="auto" w:sz="12" w:space="0"/>
            </w:tcBorders>
            <w:shd w:val="clear" w:color="auto" w:fill="auto"/>
            <w:vAlign w:val="center"/>
          </w:tcPr>
          <w:p w14:paraId="28A1AF11">
            <w:pPr>
              <w:pStyle w:val="14"/>
            </w:pPr>
            <w:r>
              <w:rPr>
                <w:rFonts w:hint="eastAsia"/>
              </w:rPr>
              <w:t>④</w:t>
            </w:r>
          </w:p>
        </w:tc>
      </w:tr>
      <w:tr w14:paraId="29590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0D84B06C">
            <w:pPr>
              <w:pStyle w:val="14"/>
            </w:pPr>
            <w:r>
              <w:rPr>
                <w:rFonts w:hint="eastAsia"/>
              </w:rPr>
              <w:t>2</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3670E6CB">
            <w:pPr>
              <w:pStyle w:val="14"/>
              <w:jc w:val="left"/>
            </w:pPr>
            <w:r>
              <w:rPr>
                <w:rFonts w:hint="eastAsia"/>
              </w:rPr>
              <w:t>小组项目任务及课堂展示</w:t>
            </w:r>
          </w:p>
        </w:tc>
        <w:tc>
          <w:tcPr>
            <w:tcW w:w="4061" w:type="dxa"/>
            <w:tcBorders>
              <w:top w:val="single" w:color="auto" w:sz="4" w:space="0"/>
              <w:left w:val="single" w:color="auto" w:sz="4" w:space="0"/>
              <w:bottom w:val="single" w:color="auto" w:sz="4" w:space="0"/>
              <w:right w:val="single" w:color="auto" w:sz="4" w:space="0"/>
            </w:tcBorders>
            <w:vAlign w:val="center"/>
          </w:tcPr>
          <w:p w14:paraId="2452BF22">
            <w:pPr>
              <w:pStyle w:val="14"/>
              <w:jc w:val="left"/>
            </w:pPr>
            <w:r>
              <w:rPr>
                <w:rFonts w:hint="eastAsia"/>
              </w:rPr>
              <w:t>要求学生根据教师设定的项目任务（如商务策划或商务案例分析），综合所学的商务理论知识及商务英语专业用语，小组协同完成任务并在课堂进行口头展示。</w:t>
            </w:r>
          </w:p>
        </w:tc>
        <w:tc>
          <w:tcPr>
            <w:tcW w:w="862" w:type="dxa"/>
            <w:tcBorders>
              <w:left w:val="single" w:color="auto" w:sz="4" w:space="0"/>
              <w:bottom w:val="single" w:color="auto" w:sz="4" w:space="0"/>
              <w:right w:val="single" w:color="auto" w:sz="4" w:space="0"/>
            </w:tcBorders>
            <w:shd w:val="clear" w:color="auto" w:fill="auto"/>
            <w:vAlign w:val="center"/>
          </w:tcPr>
          <w:p w14:paraId="157B3679">
            <w:pPr>
              <w:pStyle w:val="14"/>
              <w:rPr>
                <w:rFonts w:hint="eastAsia"/>
              </w:rPr>
            </w:pPr>
            <w:r>
              <w:rPr>
                <w:rFonts w:hint="eastAsia"/>
              </w:rPr>
              <w:t>2</w:t>
            </w:r>
          </w:p>
        </w:tc>
        <w:tc>
          <w:tcPr>
            <w:tcW w:w="950" w:type="dxa"/>
            <w:tcBorders>
              <w:left w:val="single" w:color="auto" w:sz="4" w:space="0"/>
              <w:bottom w:val="single" w:color="auto" w:sz="4" w:space="0"/>
              <w:right w:val="single" w:color="auto" w:sz="12" w:space="0"/>
            </w:tcBorders>
            <w:shd w:val="clear" w:color="auto" w:fill="auto"/>
            <w:vAlign w:val="center"/>
          </w:tcPr>
          <w:p w14:paraId="32E57F7F">
            <w:pPr>
              <w:pStyle w:val="14"/>
            </w:pPr>
            <w:r>
              <w:rPr>
                <w:rFonts w:hint="eastAsia"/>
              </w:rPr>
              <w:t>④</w:t>
            </w:r>
          </w:p>
        </w:tc>
      </w:tr>
      <w:tr w14:paraId="0252A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14:paraId="574EBA6C">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25733011">
      <w:pPr>
        <w:pStyle w:val="16"/>
        <w:spacing w:before="326" w:beforeLines="100" w:line="360" w:lineRule="auto"/>
        <w:ind w:firstLine="140" w:firstLineChars="50"/>
        <w:rPr>
          <w:rFonts w:hint="eastAsia" w:ascii="黑体" w:hAnsi="宋体"/>
        </w:rPr>
      </w:pPr>
      <w:bookmarkStart w:id="2" w:name="OLE_LINK2"/>
      <w:bookmarkStart w:id="3" w:name="OLE_LINK1"/>
    </w:p>
    <w:p w14:paraId="37A0A7BA">
      <w:pPr>
        <w:pStyle w:val="16"/>
        <w:spacing w:before="326" w:beforeLines="100" w:line="360" w:lineRule="auto"/>
        <w:ind w:firstLine="140" w:firstLineChars="50"/>
        <w:rPr>
          <w:rFonts w:hint="eastAsia" w:ascii="黑体" w:hAnsi="宋体"/>
        </w:rPr>
      </w:pPr>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0C301F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294F6AB5">
            <w:pPr>
              <w:pStyle w:val="14"/>
              <w:widowControl w:val="0"/>
              <w:ind w:firstLine="420" w:firstLineChars="200"/>
              <w:jc w:val="left"/>
            </w:pPr>
            <w:r>
              <w:rPr>
                <w:rFonts w:hint="eastAsia"/>
              </w:rPr>
              <w:t>本课程旨在将显性的语言教学与隐性的思政教育有机融合。以“学生为主，教师引导”的教学模式，采用专题式、问题导向、任务驱动、案例教学等多元教学设计，引导学生自主思考、反思领悟。教学过程中将深挖各个章节内容里的思政育人元素，在每个教学单元的教学重点中突出一个与该单元主题相关的思政内容，对学生的世界观、价值观进行引导教育，最终使知识传授、能力培养和价值观塑造融为一体：</w:t>
            </w:r>
          </w:p>
          <w:p w14:paraId="36439E02">
            <w:pPr>
              <w:pStyle w:val="14"/>
              <w:widowControl w:val="0"/>
              <w:jc w:val="left"/>
              <w:rPr>
                <w:rFonts w:cs="Times New Roman"/>
                <w:bCs/>
              </w:rPr>
            </w:pPr>
            <w:r>
              <w:rPr>
                <w:rFonts w:hint="eastAsia" w:ascii="宋体" w:hAnsi="宋体"/>
                <w:bCs/>
              </w:rPr>
              <w:t xml:space="preserve">第一单元 </w:t>
            </w:r>
            <w:r>
              <w:rPr>
                <w:rFonts w:cs="Times New Roman"/>
                <w:bCs/>
              </w:rPr>
              <w:t>Markets</w:t>
            </w:r>
          </w:p>
          <w:p w14:paraId="34F1142A">
            <w:pPr>
              <w:pStyle w:val="14"/>
              <w:widowControl w:val="0"/>
              <w:jc w:val="left"/>
              <w:rPr>
                <w:rFonts w:hint="eastAsia" w:ascii="宋体" w:hAnsi="宋体"/>
                <w:bCs/>
              </w:rPr>
            </w:pPr>
            <w:r>
              <w:rPr>
                <w:rFonts w:hint="eastAsia" w:ascii="宋体" w:hAnsi="宋体"/>
                <w:bCs/>
              </w:rPr>
              <w:t>鼓励在生活或工作中建立合作共赢意识，常怀感恩之心。</w:t>
            </w:r>
          </w:p>
          <w:p w14:paraId="7B8ACCA4">
            <w:pPr>
              <w:pStyle w:val="14"/>
              <w:widowControl w:val="0"/>
              <w:jc w:val="left"/>
              <w:rPr>
                <w:rFonts w:cs="Times New Roman"/>
              </w:rPr>
            </w:pPr>
            <w:r>
              <w:rPr>
                <w:rFonts w:hint="eastAsia" w:ascii="宋体" w:hAnsi="宋体"/>
              </w:rPr>
              <w:t>第二单元</w:t>
            </w:r>
            <w:r>
              <w:rPr>
                <w:rFonts w:cs="Times New Roman"/>
              </w:rPr>
              <w:t xml:space="preserve">  Brands</w:t>
            </w:r>
          </w:p>
          <w:p w14:paraId="3EAFD6DD">
            <w:pPr>
              <w:pStyle w:val="14"/>
              <w:widowControl w:val="0"/>
              <w:jc w:val="left"/>
              <w:rPr>
                <w:rFonts w:hint="eastAsia" w:ascii="宋体" w:hAnsi="宋体"/>
                <w:bCs/>
              </w:rPr>
            </w:pPr>
            <w:r>
              <w:rPr>
                <w:rFonts w:hint="eastAsia" w:ascii="宋体" w:hAnsi="宋体"/>
                <w:bCs/>
              </w:rPr>
              <w:t>培养服务他人、服务企业、服务社会的意愿和行为能力。</w:t>
            </w:r>
          </w:p>
          <w:p w14:paraId="5F0C00CD">
            <w:pPr>
              <w:pStyle w:val="14"/>
              <w:widowControl w:val="0"/>
              <w:jc w:val="left"/>
              <w:rPr>
                <w:rFonts w:cs="Times New Roman"/>
              </w:rPr>
            </w:pPr>
            <w:r>
              <w:rPr>
                <w:rFonts w:hint="eastAsia" w:ascii="宋体" w:hAnsi="宋体"/>
              </w:rPr>
              <w:t xml:space="preserve">第三单元 </w:t>
            </w:r>
            <w:r>
              <w:t>Communication</w:t>
            </w:r>
          </w:p>
          <w:p w14:paraId="7756E2FE">
            <w:pPr>
              <w:pStyle w:val="14"/>
              <w:widowControl w:val="0"/>
              <w:jc w:val="left"/>
              <w:rPr>
                <w:rFonts w:hint="eastAsia" w:ascii="宋体" w:hAnsi="宋体"/>
                <w:color w:val="FF0000"/>
              </w:rPr>
            </w:pPr>
            <w:r>
              <w:rPr>
                <w:rFonts w:hint="eastAsia" w:ascii="宋体" w:hAnsi="宋体"/>
              </w:rPr>
              <w:t>鼓励学生在学习和工作中要懂得关心他人，帮助他人。</w:t>
            </w:r>
          </w:p>
          <w:p w14:paraId="02A16689">
            <w:pPr>
              <w:pStyle w:val="14"/>
              <w:widowControl w:val="0"/>
              <w:jc w:val="left"/>
              <w:rPr>
                <w:rFonts w:hint="eastAsia" w:ascii="宋体" w:hAnsi="宋体"/>
              </w:rPr>
            </w:pPr>
            <w:r>
              <w:rPr>
                <w:rFonts w:hint="eastAsia" w:ascii="宋体" w:hAnsi="宋体"/>
              </w:rPr>
              <w:t xml:space="preserve">第四单元 </w:t>
            </w:r>
            <w:r>
              <w:rPr>
                <w:rFonts w:cs="Times New Roman"/>
              </w:rPr>
              <w:t>Logistics</w:t>
            </w:r>
          </w:p>
          <w:p w14:paraId="5ED410DC">
            <w:pPr>
              <w:pStyle w:val="14"/>
              <w:widowControl w:val="0"/>
              <w:jc w:val="left"/>
              <w:rPr>
                <w:rFonts w:hint="eastAsia" w:ascii="宋体" w:hAnsi="宋体"/>
              </w:rPr>
            </w:pPr>
            <w:r>
              <w:rPr>
                <w:rFonts w:hint="eastAsia" w:ascii="宋体" w:hAnsi="宋体"/>
              </w:rPr>
              <w:t>了解中国特色社会主义经济的改革与发展道路，坚定文化自信。</w:t>
            </w:r>
          </w:p>
          <w:p w14:paraId="62884E8A">
            <w:pPr>
              <w:pStyle w:val="14"/>
              <w:widowControl w:val="0"/>
              <w:jc w:val="left"/>
              <w:rPr>
                <w:rFonts w:cs="Times New Roman"/>
              </w:rPr>
            </w:pPr>
            <w:r>
              <w:rPr>
                <w:rFonts w:hint="eastAsia" w:ascii="宋体" w:hAnsi="宋体"/>
              </w:rPr>
              <w:t xml:space="preserve">第五单元 </w:t>
            </w:r>
            <w:r>
              <w:rPr>
                <w:rFonts w:cs="Times New Roman"/>
              </w:rPr>
              <w:t>Innovation</w:t>
            </w:r>
          </w:p>
          <w:p w14:paraId="0139E41E">
            <w:pPr>
              <w:pStyle w:val="14"/>
              <w:widowControl w:val="0"/>
              <w:jc w:val="left"/>
              <w:rPr>
                <w:rFonts w:hint="eastAsia" w:ascii="宋体" w:hAnsi="宋体"/>
              </w:rPr>
            </w:pPr>
            <w:r>
              <w:rPr>
                <w:rFonts w:hint="eastAsia" w:ascii="宋体" w:hAnsi="宋体"/>
              </w:rPr>
              <w:t>鼓励学生在自身职业的选择和发展中要有大局观和长远的眼光和目标。</w:t>
            </w:r>
          </w:p>
          <w:p w14:paraId="34717C75">
            <w:pPr>
              <w:pStyle w:val="14"/>
              <w:widowControl w:val="0"/>
              <w:jc w:val="left"/>
              <w:rPr>
                <w:rFonts w:cs="Times New Roman"/>
              </w:rPr>
            </w:pPr>
            <w:r>
              <w:rPr>
                <w:rFonts w:hint="eastAsia" w:ascii="宋体" w:hAnsi="宋体"/>
              </w:rPr>
              <w:t xml:space="preserve">第六单元 </w:t>
            </w:r>
            <w:r>
              <w:rPr>
                <w:rFonts w:cs="Times New Roman"/>
              </w:rPr>
              <w:t xml:space="preserve"> P</w:t>
            </w:r>
            <w:r>
              <w:rPr>
                <w:rFonts w:hint="eastAsia" w:cs="Times New Roman"/>
              </w:rPr>
              <w:t>ro</w:t>
            </w:r>
            <w:r>
              <w:rPr>
                <w:rFonts w:cs="Times New Roman"/>
              </w:rPr>
              <w:t>jects</w:t>
            </w:r>
          </w:p>
          <w:p w14:paraId="5E952449">
            <w:pPr>
              <w:pStyle w:val="14"/>
              <w:widowControl w:val="0"/>
              <w:jc w:val="left"/>
              <w:rPr>
                <w:rFonts w:hint="eastAsia" w:ascii="宋体" w:hAnsi="宋体"/>
              </w:rPr>
            </w:pPr>
            <w:r>
              <w:rPr>
                <w:rFonts w:hint="eastAsia" w:ascii="宋体" w:hAnsi="宋体"/>
              </w:rPr>
              <w:t>懂得日常生活及学习中时间管理的重要性。</w:t>
            </w:r>
          </w:p>
          <w:p w14:paraId="39E96DB7">
            <w:pPr>
              <w:pStyle w:val="14"/>
              <w:widowControl w:val="0"/>
              <w:jc w:val="left"/>
              <w:rPr>
                <w:rFonts w:cs="Times New Roman"/>
              </w:rPr>
            </w:pPr>
            <w:r>
              <w:rPr>
                <w:rFonts w:hint="eastAsia" w:ascii="宋体" w:hAnsi="宋体"/>
              </w:rPr>
              <w:t xml:space="preserve">第七单元 </w:t>
            </w:r>
            <w:r>
              <w:rPr>
                <w:rFonts w:cs="Times New Roman"/>
              </w:rPr>
              <w:t>Technology</w:t>
            </w:r>
          </w:p>
          <w:p w14:paraId="17DC3DEB">
            <w:pPr>
              <w:pStyle w:val="14"/>
              <w:widowControl w:val="0"/>
              <w:jc w:val="left"/>
              <w:rPr>
                <w:rFonts w:hint="eastAsia" w:ascii="宋体" w:hAnsi="宋体"/>
              </w:rPr>
            </w:pPr>
            <w:r>
              <w:rPr>
                <w:rFonts w:hint="eastAsia" w:ascii="宋体" w:hAnsi="宋体"/>
              </w:rPr>
              <w:t>了解网络及人工智能新技术为跨文化商务交流带来的便捷，提升国际视野，坚定中国自信。</w:t>
            </w:r>
          </w:p>
          <w:p w14:paraId="331A5940">
            <w:pPr>
              <w:pStyle w:val="14"/>
              <w:widowControl w:val="0"/>
              <w:jc w:val="left"/>
              <w:rPr>
                <w:rFonts w:cs="Times New Roman"/>
              </w:rPr>
            </w:pPr>
            <w:r>
              <w:rPr>
                <w:rFonts w:hint="eastAsia" w:ascii="宋体" w:hAnsi="宋体"/>
              </w:rPr>
              <w:t xml:space="preserve">第八单元 </w:t>
            </w:r>
            <w:r>
              <w:rPr>
                <w:rFonts w:cs="Times New Roman"/>
              </w:rPr>
              <w:t>Competition</w:t>
            </w:r>
          </w:p>
          <w:p w14:paraId="6BD5F496">
            <w:pPr>
              <w:pStyle w:val="14"/>
              <w:widowControl w:val="0"/>
              <w:jc w:val="left"/>
              <w:rPr>
                <w:rFonts w:hint="eastAsia" w:ascii="宋体" w:hAnsi="宋体"/>
              </w:rPr>
            </w:pPr>
            <w:r>
              <w:rPr>
                <w:rFonts w:hint="eastAsia" w:ascii="宋体" w:hAnsi="宋体"/>
              </w:rPr>
              <w:t>在学习企业的日常生产和管理中，培养学生的社会责任心和职业素养。</w:t>
            </w:r>
          </w:p>
          <w:p w14:paraId="24AEDF0C">
            <w:pPr>
              <w:pStyle w:val="14"/>
              <w:widowControl w:val="0"/>
              <w:jc w:val="left"/>
              <w:rPr>
                <w:rFonts w:ascii="宋体" w:hAnsi="宋体"/>
              </w:rPr>
            </w:pPr>
          </w:p>
          <w:p w14:paraId="66BD6DF4">
            <w:pPr>
              <w:pStyle w:val="14"/>
              <w:widowControl w:val="0"/>
              <w:ind w:firstLine="420" w:firstLineChars="200"/>
              <w:jc w:val="left"/>
            </w:pPr>
            <w:r>
              <w:rPr>
                <w:rFonts w:hint="eastAsia"/>
              </w:rPr>
              <w:t>整个课程将按照循序渐进的原则导入课程思政目标。第一阶段，立足学生的家国情怀与文化自信培养，鼓励学生关注祖国特色社会主义经济的发展与改革，讲好中国故事，传播中国声音；第二阶段，强化学生的自主学习能力和思辩创新能力培养；引导学生批判性分析课堂教学中的商务案例，力求去粗取精；第三阶段，拓宽学生交融格局，着眼提升学生的全球视野和文化宽容度。</w:t>
            </w:r>
          </w:p>
        </w:tc>
      </w:tr>
    </w:tbl>
    <w:p w14:paraId="2D32871E">
      <w:pPr>
        <w:pStyle w:val="16"/>
        <w:spacing w:before="326" w:beforeLines="100" w:line="360" w:lineRule="auto"/>
        <w:rPr>
          <w:rFonts w:hint="eastAsia" w:ascii="黑体" w:hAnsi="宋体"/>
        </w:rPr>
      </w:pPr>
      <w:r>
        <w:rPr>
          <w:rFonts w:hint="eastAsia" w:ascii="黑体" w:hAnsi="宋体"/>
        </w:rPr>
        <w:t>五、课程考核</w:t>
      </w:r>
      <w:bookmarkStart w:id="4" w:name="OLE_LINK4"/>
      <w:bookmarkStart w:id="5" w:name="OLE_LINK3"/>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532"/>
        <w:gridCol w:w="709"/>
        <w:gridCol w:w="709"/>
        <w:gridCol w:w="709"/>
        <w:gridCol w:w="632"/>
        <w:gridCol w:w="643"/>
        <w:gridCol w:w="799"/>
      </w:tblGrid>
      <w:tr w14:paraId="794A5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067660AB">
            <w:pPr>
              <w:widowControl w:val="0"/>
              <w:snapToGrid w:val="0"/>
              <w:jc w:val="center"/>
              <w:rPr>
                <w:rFonts w:hint="eastAsia"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066740A3">
            <w:pPr>
              <w:pStyle w:val="16"/>
              <w:widowControl w:val="0"/>
              <w:spacing w:line="240" w:lineRule="auto"/>
              <w:jc w:val="center"/>
              <w:rPr>
                <w:rFonts w:hint="eastAsia" w:ascii="黑体" w:hAnsi="宋体"/>
              </w:rPr>
            </w:pPr>
            <w:r>
              <w:rPr>
                <w:rFonts w:hint="eastAsia" w:ascii="黑体" w:hAnsi="黑体"/>
                <w:bCs/>
                <w:sz w:val="21"/>
                <w:szCs w:val="21"/>
              </w:rPr>
              <w:t>占比</w:t>
            </w:r>
          </w:p>
        </w:tc>
        <w:tc>
          <w:tcPr>
            <w:tcW w:w="2532" w:type="dxa"/>
            <w:vMerge w:val="restart"/>
            <w:tcBorders>
              <w:top w:val="single" w:color="auto" w:sz="12" w:space="0"/>
              <w:right w:val="double" w:color="auto" w:sz="4" w:space="0"/>
            </w:tcBorders>
            <w:vAlign w:val="center"/>
          </w:tcPr>
          <w:p w14:paraId="42276FC0">
            <w:pPr>
              <w:pStyle w:val="16"/>
              <w:widowControl w:val="0"/>
              <w:jc w:val="center"/>
              <w:rPr>
                <w:rFonts w:hint="eastAsia" w:ascii="黑体" w:hAnsi="黑体"/>
                <w:bCs/>
                <w:sz w:val="21"/>
                <w:szCs w:val="21"/>
              </w:rPr>
            </w:pPr>
            <w:r>
              <w:rPr>
                <w:rFonts w:hint="eastAsia" w:ascii="黑体" w:hAnsi="黑体"/>
                <w:bCs/>
                <w:sz w:val="21"/>
                <w:szCs w:val="21"/>
              </w:rPr>
              <w:t>考核方式</w:t>
            </w:r>
          </w:p>
        </w:tc>
        <w:tc>
          <w:tcPr>
            <w:tcW w:w="3402" w:type="dxa"/>
            <w:gridSpan w:val="5"/>
            <w:tcBorders>
              <w:top w:val="single" w:color="auto" w:sz="12" w:space="0"/>
              <w:left w:val="double" w:color="auto" w:sz="4" w:space="0"/>
            </w:tcBorders>
            <w:vAlign w:val="center"/>
          </w:tcPr>
          <w:p w14:paraId="7DF6FDFA">
            <w:pPr>
              <w:pStyle w:val="16"/>
              <w:widowControl w:val="0"/>
              <w:spacing w:line="240" w:lineRule="auto"/>
              <w:jc w:val="center"/>
              <w:rPr>
                <w:rFonts w:hint="eastAsia" w:ascii="黑体" w:hAnsi="宋体"/>
              </w:rPr>
            </w:pPr>
            <w:r>
              <w:rPr>
                <w:rFonts w:hint="eastAsia" w:ascii="黑体" w:hAnsi="黑体"/>
                <w:bCs/>
                <w:sz w:val="21"/>
                <w:szCs w:val="21"/>
              </w:rPr>
              <w:t>课程目标</w:t>
            </w:r>
          </w:p>
        </w:tc>
        <w:tc>
          <w:tcPr>
            <w:tcW w:w="799" w:type="dxa"/>
            <w:vMerge w:val="restart"/>
            <w:tcBorders>
              <w:top w:val="single" w:color="auto" w:sz="12" w:space="0"/>
              <w:right w:val="single" w:color="auto" w:sz="12" w:space="0"/>
            </w:tcBorders>
            <w:vAlign w:val="center"/>
          </w:tcPr>
          <w:p w14:paraId="077A48E0">
            <w:pPr>
              <w:pStyle w:val="16"/>
              <w:widowControl w:val="0"/>
              <w:spacing w:line="240" w:lineRule="auto"/>
              <w:jc w:val="center"/>
              <w:rPr>
                <w:rFonts w:hint="eastAsia" w:ascii="黑体" w:hAnsi="黑体"/>
                <w:bCs/>
                <w:sz w:val="21"/>
                <w:szCs w:val="21"/>
              </w:rPr>
            </w:pPr>
            <w:r>
              <w:rPr>
                <w:rFonts w:hint="eastAsia" w:ascii="黑体" w:hAnsi="黑体"/>
                <w:bCs/>
                <w:sz w:val="21"/>
                <w:szCs w:val="21"/>
              </w:rPr>
              <w:t>合计</w:t>
            </w:r>
          </w:p>
        </w:tc>
      </w:tr>
      <w:tr w14:paraId="1326D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35504F1D">
            <w:pPr>
              <w:widowControl w:val="0"/>
              <w:snapToGrid w:val="0"/>
              <w:jc w:val="center"/>
              <w:rPr>
                <w:rFonts w:hint="eastAsia" w:ascii="黑体" w:hAnsi="黑体" w:eastAsia="黑体"/>
                <w:bCs/>
                <w:sz w:val="21"/>
                <w:szCs w:val="21"/>
              </w:rPr>
            </w:pPr>
          </w:p>
        </w:tc>
        <w:tc>
          <w:tcPr>
            <w:tcW w:w="709" w:type="dxa"/>
            <w:vMerge w:val="continue"/>
          </w:tcPr>
          <w:p w14:paraId="64F7D0FE">
            <w:pPr>
              <w:pStyle w:val="16"/>
              <w:widowControl w:val="0"/>
              <w:jc w:val="both"/>
              <w:rPr>
                <w:rFonts w:hint="eastAsia" w:ascii="黑体" w:hAnsi="黑体"/>
                <w:bCs/>
                <w:sz w:val="21"/>
                <w:szCs w:val="21"/>
              </w:rPr>
            </w:pPr>
          </w:p>
        </w:tc>
        <w:tc>
          <w:tcPr>
            <w:tcW w:w="2532" w:type="dxa"/>
            <w:vMerge w:val="continue"/>
            <w:tcBorders>
              <w:right w:val="double" w:color="auto" w:sz="4" w:space="0"/>
            </w:tcBorders>
          </w:tcPr>
          <w:p w14:paraId="121988BA">
            <w:pPr>
              <w:pStyle w:val="16"/>
              <w:widowControl w:val="0"/>
              <w:jc w:val="both"/>
              <w:rPr>
                <w:rFonts w:hint="eastAsia" w:ascii="黑体" w:hAnsi="黑体"/>
                <w:bCs/>
                <w:sz w:val="21"/>
                <w:szCs w:val="21"/>
              </w:rPr>
            </w:pPr>
          </w:p>
        </w:tc>
        <w:tc>
          <w:tcPr>
            <w:tcW w:w="709" w:type="dxa"/>
            <w:tcBorders>
              <w:left w:val="double" w:color="auto" w:sz="4" w:space="0"/>
            </w:tcBorders>
            <w:vAlign w:val="center"/>
          </w:tcPr>
          <w:p w14:paraId="789F02FC">
            <w:pPr>
              <w:pStyle w:val="16"/>
              <w:widowControl w:val="0"/>
              <w:spacing w:line="240" w:lineRule="auto"/>
              <w:jc w:val="center"/>
              <w:rPr>
                <w:rFonts w:hint="eastAsia" w:ascii="黑体" w:hAnsi="黑体"/>
                <w:bCs/>
                <w:sz w:val="21"/>
                <w:szCs w:val="21"/>
              </w:rPr>
            </w:pPr>
            <w:r>
              <w:rPr>
                <w:rFonts w:hint="eastAsia" w:ascii="黑体" w:hAnsi="黑体"/>
                <w:bCs/>
                <w:sz w:val="21"/>
                <w:szCs w:val="21"/>
              </w:rPr>
              <w:t>1</w:t>
            </w:r>
          </w:p>
        </w:tc>
        <w:tc>
          <w:tcPr>
            <w:tcW w:w="709" w:type="dxa"/>
            <w:tcBorders>
              <w:left w:val="double" w:color="auto" w:sz="4" w:space="0"/>
            </w:tcBorders>
            <w:vAlign w:val="center"/>
          </w:tcPr>
          <w:p w14:paraId="07427F54">
            <w:pPr>
              <w:pStyle w:val="16"/>
              <w:widowControl w:val="0"/>
              <w:spacing w:line="240" w:lineRule="auto"/>
              <w:jc w:val="center"/>
              <w:rPr>
                <w:rFonts w:hint="eastAsia" w:ascii="黑体" w:hAnsi="黑体"/>
                <w:bCs/>
                <w:sz w:val="21"/>
                <w:szCs w:val="21"/>
              </w:rPr>
            </w:pPr>
            <w:r>
              <w:rPr>
                <w:rFonts w:hint="eastAsia" w:ascii="黑体" w:hAnsi="黑体"/>
                <w:bCs/>
                <w:sz w:val="21"/>
                <w:szCs w:val="21"/>
              </w:rPr>
              <w:t>2</w:t>
            </w:r>
          </w:p>
        </w:tc>
        <w:tc>
          <w:tcPr>
            <w:tcW w:w="709" w:type="dxa"/>
            <w:tcBorders>
              <w:left w:val="double" w:color="auto" w:sz="4" w:space="0"/>
            </w:tcBorders>
            <w:vAlign w:val="center"/>
          </w:tcPr>
          <w:p w14:paraId="1D1B5DB5">
            <w:pPr>
              <w:pStyle w:val="16"/>
              <w:widowControl w:val="0"/>
              <w:spacing w:line="240" w:lineRule="auto"/>
              <w:jc w:val="center"/>
              <w:rPr>
                <w:rFonts w:hint="eastAsia" w:ascii="黑体" w:hAnsi="黑体"/>
                <w:bCs/>
                <w:sz w:val="21"/>
                <w:szCs w:val="21"/>
              </w:rPr>
            </w:pPr>
            <w:r>
              <w:rPr>
                <w:rFonts w:hint="eastAsia" w:ascii="黑体" w:hAnsi="黑体"/>
                <w:bCs/>
                <w:sz w:val="21"/>
                <w:szCs w:val="21"/>
              </w:rPr>
              <w:t>3</w:t>
            </w:r>
          </w:p>
        </w:tc>
        <w:tc>
          <w:tcPr>
            <w:tcW w:w="632" w:type="dxa"/>
            <w:tcBorders>
              <w:left w:val="double" w:color="auto" w:sz="4" w:space="0"/>
            </w:tcBorders>
            <w:vAlign w:val="center"/>
          </w:tcPr>
          <w:p w14:paraId="3DE6B854">
            <w:pPr>
              <w:pStyle w:val="16"/>
              <w:widowControl w:val="0"/>
              <w:spacing w:line="240" w:lineRule="auto"/>
              <w:jc w:val="center"/>
              <w:rPr>
                <w:rFonts w:hint="eastAsia" w:ascii="黑体" w:hAnsi="黑体"/>
                <w:bCs/>
                <w:sz w:val="21"/>
                <w:szCs w:val="21"/>
              </w:rPr>
            </w:pPr>
            <w:r>
              <w:rPr>
                <w:rFonts w:hint="eastAsia" w:ascii="黑体" w:hAnsi="黑体"/>
                <w:bCs/>
                <w:sz w:val="21"/>
                <w:szCs w:val="21"/>
              </w:rPr>
              <w:t>4</w:t>
            </w:r>
          </w:p>
        </w:tc>
        <w:tc>
          <w:tcPr>
            <w:tcW w:w="643" w:type="dxa"/>
            <w:tcBorders>
              <w:left w:val="double" w:color="auto" w:sz="4" w:space="0"/>
            </w:tcBorders>
            <w:vAlign w:val="center"/>
          </w:tcPr>
          <w:p w14:paraId="573A449B">
            <w:pPr>
              <w:pStyle w:val="16"/>
              <w:widowControl w:val="0"/>
              <w:spacing w:line="240" w:lineRule="auto"/>
              <w:jc w:val="center"/>
              <w:rPr>
                <w:rFonts w:hint="eastAsia" w:ascii="黑体" w:hAnsi="黑体"/>
                <w:bCs/>
                <w:sz w:val="21"/>
                <w:szCs w:val="21"/>
              </w:rPr>
            </w:pPr>
            <w:r>
              <w:rPr>
                <w:rFonts w:hint="eastAsia" w:ascii="黑体" w:hAnsi="黑体"/>
                <w:bCs/>
                <w:sz w:val="21"/>
                <w:szCs w:val="21"/>
              </w:rPr>
              <w:t>5</w:t>
            </w:r>
          </w:p>
        </w:tc>
        <w:tc>
          <w:tcPr>
            <w:tcW w:w="799" w:type="dxa"/>
            <w:vMerge w:val="continue"/>
            <w:tcBorders>
              <w:right w:val="single" w:color="auto" w:sz="12" w:space="0"/>
            </w:tcBorders>
          </w:tcPr>
          <w:p w14:paraId="7166E332">
            <w:pPr>
              <w:pStyle w:val="16"/>
              <w:widowControl w:val="0"/>
              <w:spacing w:line="240" w:lineRule="auto"/>
              <w:jc w:val="center"/>
              <w:rPr>
                <w:rFonts w:hint="eastAsia" w:ascii="黑体" w:hAnsi="黑体"/>
                <w:bCs/>
                <w:sz w:val="21"/>
                <w:szCs w:val="21"/>
              </w:rPr>
            </w:pPr>
          </w:p>
        </w:tc>
      </w:tr>
      <w:tr w14:paraId="7E67E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4F11350">
            <w:pPr>
              <w:widowControl w:val="0"/>
              <w:snapToGrid w:val="0"/>
              <w:jc w:val="center"/>
              <w:rPr>
                <w:rFonts w:ascii="Arial" w:hAnsi="Arial" w:eastAsia="黑体" w:cs="Arial"/>
                <w:bCs/>
                <w:sz w:val="21"/>
                <w:szCs w:val="21"/>
                <w:vertAlign w:val="subscript"/>
              </w:rPr>
            </w:pPr>
            <w:r>
              <w:rPr>
                <w:rFonts w:hint="eastAsia" w:ascii="Arial" w:hAnsi="Arial" w:eastAsia="黑体" w:cs="Arial"/>
                <w:bCs/>
                <w:sz w:val="21"/>
                <w:szCs w:val="21"/>
              </w:rPr>
              <w:t>X</w:t>
            </w:r>
            <w:r>
              <w:rPr>
                <w:rFonts w:ascii="Arial" w:hAnsi="Arial" w:eastAsia="黑体" w:cs="Arial"/>
                <w:bCs/>
                <w:sz w:val="21"/>
                <w:szCs w:val="21"/>
                <w:vertAlign w:val="subscript"/>
              </w:rPr>
              <w:t>1</w:t>
            </w:r>
          </w:p>
        </w:tc>
        <w:tc>
          <w:tcPr>
            <w:tcW w:w="709" w:type="dxa"/>
            <w:vAlign w:val="center"/>
          </w:tcPr>
          <w:p w14:paraId="3F7ECD69">
            <w:pPr>
              <w:pStyle w:val="14"/>
              <w:widowControl w:val="0"/>
            </w:pPr>
            <w:r>
              <w:rPr>
                <w:szCs w:val="24"/>
              </w:rPr>
              <w:t>45%</w:t>
            </w:r>
          </w:p>
        </w:tc>
        <w:tc>
          <w:tcPr>
            <w:tcW w:w="2532" w:type="dxa"/>
            <w:tcBorders>
              <w:right w:val="double" w:color="auto" w:sz="4" w:space="0"/>
            </w:tcBorders>
            <w:vAlign w:val="center"/>
          </w:tcPr>
          <w:p w14:paraId="7E9B1DD1">
            <w:pPr>
              <w:pStyle w:val="14"/>
              <w:widowControl w:val="0"/>
            </w:pPr>
            <w:r>
              <w:rPr>
                <w:rFonts w:hint="eastAsia"/>
                <w:szCs w:val="24"/>
              </w:rPr>
              <w:t>随堂测试</w:t>
            </w:r>
          </w:p>
        </w:tc>
        <w:tc>
          <w:tcPr>
            <w:tcW w:w="709" w:type="dxa"/>
            <w:tcBorders>
              <w:left w:val="double" w:color="auto" w:sz="4" w:space="0"/>
            </w:tcBorders>
            <w:vAlign w:val="center"/>
          </w:tcPr>
          <w:p w14:paraId="1FD3D19D">
            <w:pPr>
              <w:pStyle w:val="14"/>
              <w:widowControl w:val="0"/>
              <w:rPr>
                <w:rFonts w:cs="Times New Roman"/>
              </w:rPr>
            </w:pPr>
            <w:r>
              <w:rPr>
                <w:rFonts w:hint="eastAsia" w:cs="Times New Roman"/>
                <w:bCs/>
              </w:rPr>
              <w:t>3</w:t>
            </w:r>
            <w:r>
              <w:rPr>
                <w:rFonts w:cs="Times New Roman"/>
                <w:bCs/>
              </w:rPr>
              <w:t>0</w:t>
            </w:r>
          </w:p>
        </w:tc>
        <w:tc>
          <w:tcPr>
            <w:tcW w:w="709" w:type="dxa"/>
            <w:tcBorders>
              <w:left w:val="double" w:color="auto" w:sz="4" w:space="0"/>
            </w:tcBorders>
            <w:vAlign w:val="center"/>
          </w:tcPr>
          <w:p w14:paraId="1C1D4316">
            <w:pPr>
              <w:pStyle w:val="14"/>
              <w:widowControl w:val="0"/>
              <w:rPr>
                <w:rFonts w:cs="Times New Roman"/>
              </w:rPr>
            </w:pPr>
            <w:r>
              <w:rPr>
                <w:rFonts w:cs="Times New Roman"/>
                <w:bCs/>
              </w:rPr>
              <w:t>30</w:t>
            </w:r>
          </w:p>
        </w:tc>
        <w:tc>
          <w:tcPr>
            <w:tcW w:w="709" w:type="dxa"/>
            <w:tcBorders>
              <w:left w:val="double" w:color="auto" w:sz="4" w:space="0"/>
            </w:tcBorders>
            <w:vAlign w:val="center"/>
          </w:tcPr>
          <w:p w14:paraId="29A36EAC">
            <w:pPr>
              <w:pStyle w:val="14"/>
              <w:widowControl w:val="0"/>
              <w:rPr>
                <w:rFonts w:cs="Times New Roman"/>
              </w:rPr>
            </w:pPr>
            <w:r>
              <w:rPr>
                <w:rFonts w:cs="Times New Roman"/>
                <w:bCs/>
              </w:rPr>
              <w:t>10</w:t>
            </w:r>
          </w:p>
        </w:tc>
        <w:tc>
          <w:tcPr>
            <w:tcW w:w="632" w:type="dxa"/>
            <w:tcBorders>
              <w:left w:val="double" w:color="auto" w:sz="4" w:space="0"/>
            </w:tcBorders>
            <w:vAlign w:val="center"/>
          </w:tcPr>
          <w:p w14:paraId="7DD9817D">
            <w:pPr>
              <w:pStyle w:val="14"/>
              <w:widowControl w:val="0"/>
              <w:rPr>
                <w:rFonts w:cs="Times New Roman"/>
              </w:rPr>
            </w:pPr>
            <w:r>
              <w:rPr>
                <w:rFonts w:hint="eastAsia" w:cs="Times New Roman"/>
              </w:rPr>
              <w:t>10</w:t>
            </w:r>
          </w:p>
        </w:tc>
        <w:tc>
          <w:tcPr>
            <w:tcW w:w="643" w:type="dxa"/>
            <w:tcBorders>
              <w:left w:val="double" w:color="auto" w:sz="4" w:space="0"/>
            </w:tcBorders>
            <w:vAlign w:val="center"/>
          </w:tcPr>
          <w:p w14:paraId="1C49A3C7">
            <w:pPr>
              <w:pStyle w:val="14"/>
              <w:widowControl w:val="0"/>
              <w:rPr>
                <w:rFonts w:cs="Times New Roman"/>
              </w:rPr>
            </w:pPr>
            <w:r>
              <w:rPr>
                <w:rFonts w:cs="Times New Roman"/>
                <w:bCs/>
              </w:rPr>
              <w:t>20</w:t>
            </w:r>
          </w:p>
        </w:tc>
        <w:tc>
          <w:tcPr>
            <w:tcW w:w="799" w:type="dxa"/>
            <w:tcBorders>
              <w:right w:val="single" w:color="auto" w:sz="12" w:space="0"/>
            </w:tcBorders>
            <w:vAlign w:val="center"/>
          </w:tcPr>
          <w:p w14:paraId="501CDD70">
            <w:pPr>
              <w:pStyle w:val="14"/>
              <w:widowControl w:val="0"/>
            </w:pPr>
            <w:r>
              <w:rPr>
                <w:rFonts w:hint="eastAsia"/>
              </w:rPr>
              <w:t>1</w:t>
            </w:r>
            <w:r>
              <w:t>00</w:t>
            </w:r>
          </w:p>
        </w:tc>
      </w:tr>
      <w:tr w14:paraId="3C331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73A98CE0">
            <w:pPr>
              <w:widowControl w:val="0"/>
              <w:snapToGrid w:val="0"/>
              <w:jc w:val="center"/>
              <w:rPr>
                <w:rFonts w:ascii="Arial" w:hAnsi="Arial" w:eastAsia="黑体" w:cs="Arial"/>
                <w:bCs/>
                <w:sz w:val="21"/>
                <w:szCs w:val="21"/>
                <w:vertAlign w:val="subscript"/>
              </w:rPr>
            </w:pPr>
            <w:r>
              <w:rPr>
                <w:rFonts w:ascii="Arial" w:hAnsi="Arial" w:eastAsia="黑体" w:cs="Arial"/>
                <w:bCs/>
                <w:sz w:val="21"/>
                <w:szCs w:val="21"/>
              </w:rPr>
              <w:t>X</w:t>
            </w:r>
            <w:r>
              <w:rPr>
                <w:rFonts w:ascii="Arial" w:hAnsi="Arial" w:eastAsia="黑体" w:cs="Arial"/>
                <w:bCs/>
                <w:sz w:val="21"/>
                <w:szCs w:val="21"/>
                <w:vertAlign w:val="subscript"/>
              </w:rPr>
              <w:t>2</w:t>
            </w:r>
          </w:p>
        </w:tc>
        <w:tc>
          <w:tcPr>
            <w:tcW w:w="709" w:type="dxa"/>
            <w:vAlign w:val="center"/>
          </w:tcPr>
          <w:p w14:paraId="4A8E6BEE">
            <w:pPr>
              <w:pStyle w:val="14"/>
              <w:widowControl w:val="0"/>
            </w:pPr>
            <w:r>
              <w:rPr>
                <w:szCs w:val="24"/>
              </w:rPr>
              <w:t>20%</w:t>
            </w:r>
          </w:p>
        </w:tc>
        <w:tc>
          <w:tcPr>
            <w:tcW w:w="2532" w:type="dxa"/>
            <w:tcBorders>
              <w:right w:val="double" w:color="auto" w:sz="4" w:space="0"/>
            </w:tcBorders>
            <w:vAlign w:val="center"/>
          </w:tcPr>
          <w:p w14:paraId="54CF5B5B">
            <w:pPr>
              <w:pStyle w:val="14"/>
              <w:widowControl w:val="0"/>
            </w:pPr>
            <w:r>
              <w:rPr>
                <w:rFonts w:hint="eastAsia"/>
                <w:szCs w:val="24"/>
              </w:rPr>
              <w:t>随堂听力测试</w:t>
            </w:r>
          </w:p>
        </w:tc>
        <w:tc>
          <w:tcPr>
            <w:tcW w:w="709" w:type="dxa"/>
            <w:tcBorders>
              <w:left w:val="double" w:color="auto" w:sz="4" w:space="0"/>
            </w:tcBorders>
            <w:vAlign w:val="center"/>
          </w:tcPr>
          <w:p w14:paraId="31F0A05B">
            <w:pPr>
              <w:pStyle w:val="14"/>
              <w:widowControl w:val="0"/>
            </w:pPr>
            <w:r>
              <w:rPr>
                <w:rFonts w:hint="eastAsia"/>
              </w:rPr>
              <w:t>30</w:t>
            </w:r>
          </w:p>
        </w:tc>
        <w:tc>
          <w:tcPr>
            <w:tcW w:w="709" w:type="dxa"/>
            <w:tcBorders>
              <w:left w:val="double" w:color="auto" w:sz="4" w:space="0"/>
            </w:tcBorders>
            <w:vAlign w:val="center"/>
          </w:tcPr>
          <w:p w14:paraId="774484EB">
            <w:pPr>
              <w:pStyle w:val="14"/>
              <w:widowControl w:val="0"/>
            </w:pPr>
            <w:r>
              <w:rPr>
                <w:rFonts w:hint="eastAsia"/>
              </w:rPr>
              <w:t>30</w:t>
            </w:r>
          </w:p>
        </w:tc>
        <w:tc>
          <w:tcPr>
            <w:tcW w:w="709" w:type="dxa"/>
            <w:tcBorders>
              <w:left w:val="double" w:color="auto" w:sz="4" w:space="0"/>
            </w:tcBorders>
            <w:vAlign w:val="center"/>
          </w:tcPr>
          <w:p w14:paraId="1AAC1E9D">
            <w:pPr>
              <w:pStyle w:val="14"/>
              <w:widowControl w:val="0"/>
            </w:pPr>
            <w:r>
              <w:rPr>
                <w:rFonts w:hint="eastAsia"/>
              </w:rPr>
              <w:t>20</w:t>
            </w:r>
          </w:p>
        </w:tc>
        <w:tc>
          <w:tcPr>
            <w:tcW w:w="632" w:type="dxa"/>
            <w:tcBorders>
              <w:left w:val="double" w:color="auto" w:sz="4" w:space="0"/>
            </w:tcBorders>
            <w:vAlign w:val="center"/>
          </w:tcPr>
          <w:p w14:paraId="581F2E99">
            <w:pPr>
              <w:pStyle w:val="14"/>
              <w:widowControl w:val="0"/>
              <w:rPr>
                <w:rFonts w:hint="eastAsia"/>
              </w:rPr>
            </w:pPr>
            <w:r>
              <w:rPr>
                <w:rFonts w:hint="eastAsia"/>
              </w:rPr>
              <w:t>10</w:t>
            </w:r>
          </w:p>
        </w:tc>
        <w:tc>
          <w:tcPr>
            <w:tcW w:w="643" w:type="dxa"/>
            <w:tcBorders>
              <w:left w:val="double" w:color="auto" w:sz="4" w:space="0"/>
            </w:tcBorders>
            <w:vAlign w:val="center"/>
          </w:tcPr>
          <w:p w14:paraId="3F4B7AF3">
            <w:pPr>
              <w:pStyle w:val="14"/>
              <w:widowControl w:val="0"/>
              <w:rPr>
                <w:rFonts w:hint="eastAsia"/>
              </w:rPr>
            </w:pPr>
            <w:r>
              <w:rPr>
                <w:rFonts w:hint="eastAsia"/>
              </w:rPr>
              <w:t>10</w:t>
            </w:r>
          </w:p>
        </w:tc>
        <w:tc>
          <w:tcPr>
            <w:tcW w:w="799" w:type="dxa"/>
            <w:tcBorders>
              <w:right w:val="single" w:color="auto" w:sz="12" w:space="0"/>
            </w:tcBorders>
            <w:vAlign w:val="center"/>
          </w:tcPr>
          <w:p w14:paraId="4DB88E2C">
            <w:pPr>
              <w:pStyle w:val="14"/>
              <w:widowControl w:val="0"/>
            </w:pPr>
            <w:r>
              <w:rPr>
                <w:rFonts w:hint="eastAsia"/>
              </w:rPr>
              <w:t>1</w:t>
            </w:r>
            <w:r>
              <w:t>00</w:t>
            </w:r>
          </w:p>
        </w:tc>
      </w:tr>
      <w:tr w14:paraId="344F1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FD0B806">
            <w:pPr>
              <w:widowControl w:val="0"/>
              <w:snapToGrid w:val="0"/>
              <w:jc w:val="center"/>
              <w:rPr>
                <w:rFonts w:ascii="Arial" w:hAnsi="Arial" w:eastAsia="黑体" w:cs="Arial"/>
                <w:bCs/>
                <w:sz w:val="21"/>
                <w:szCs w:val="21"/>
                <w:vertAlign w:val="subscript"/>
              </w:rPr>
            </w:pPr>
            <w:r>
              <w:rPr>
                <w:rFonts w:ascii="Arial" w:hAnsi="Arial" w:eastAsia="黑体" w:cs="Arial"/>
                <w:bCs/>
                <w:sz w:val="21"/>
                <w:szCs w:val="21"/>
              </w:rPr>
              <w:t>X</w:t>
            </w:r>
            <w:r>
              <w:rPr>
                <w:rFonts w:ascii="Arial" w:hAnsi="Arial" w:eastAsia="黑体" w:cs="Arial"/>
                <w:bCs/>
                <w:sz w:val="21"/>
                <w:szCs w:val="21"/>
                <w:vertAlign w:val="subscript"/>
              </w:rPr>
              <w:t>3</w:t>
            </w:r>
          </w:p>
        </w:tc>
        <w:tc>
          <w:tcPr>
            <w:tcW w:w="709" w:type="dxa"/>
            <w:vAlign w:val="center"/>
          </w:tcPr>
          <w:p w14:paraId="553064B1">
            <w:pPr>
              <w:pStyle w:val="14"/>
              <w:widowControl w:val="0"/>
            </w:pPr>
            <w:r>
              <w:rPr>
                <w:szCs w:val="24"/>
              </w:rPr>
              <w:t>20%</w:t>
            </w:r>
          </w:p>
        </w:tc>
        <w:tc>
          <w:tcPr>
            <w:tcW w:w="2532" w:type="dxa"/>
            <w:tcBorders>
              <w:right w:val="double" w:color="auto" w:sz="4" w:space="0"/>
            </w:tcBorders>
            <w:vAlign w:val="center"/>
          </w:tcPr>
          <w:p w14:paraId="3C93C214">
            <w:pPr>
              <w:pStyle w:val="14"/>
              <w:widowControl w:val="0"/>
            </w:pPr>
            <w:r>
              <w:rPr>
                <w:rFonts w:hint="eastAsia"/>
              </w:rPr>
              <w:t>小组项目报告及课堂展示</w:t>
            </w:r>
          </w:p>
        </w:tc>
        <w:tc>
          <w:tcPr>
            <w:tcW w:w="709" w:type="dxa"/>
            <w:tcBorders>
              <w:left w:val="double" w:color="auto" w:sz="4" w:space="0"/>
            </w:tcBorders>
            <w:vAlign w:val="center"/>
          </w:tcPr>
          <w:p w14:paraId="0B8942B3">
            <w:pPr>
              <w:pStyle w:val="14"/>
              <w:widowControl w:val="0"/>
            </w:pPr>
            <w:r>
              <w:t>3</w:t>
            </w:r>
            <w:r>
              <w:rPr>
                <w:rFonts w:hint="eastAsia"/>
              </w:rPr>
              <w:t>0</w:t>
            </w:r>
          </w:p>
        </w:tc>
        <w:tc>
          <w:tcPr>
            <w:tcW w:w="709" w:type="dxa"/>
            <w:tcBorders>
              <w:left w:val="double" w:color="auto" w:sz="4" w:space="0"/>
            </w:tcBorders>
            <w:vAlign w:val="center"/>
          </w:tcPr>
          <w:p w14:paraId="2BD080CE">
            <w:pPr>
              <w:pStyle w:val="14"/>
              <w:widowControl w:val="0"/>
            </w:pPr>
            <w:r>
              <w:t>2</w:t>
            </w:r>
            <w:r>
              <w:rPr>
                <w:rFonts w:hint="eastAsia"/>
              </w:rPr>
              <w:t>0</w:t>
            </w:r>
          </w:p>
        </w:tc>
        <w:tc>
          <w:tcPr>
            <w:tcW w:w="709" w:type="dxa"/>
            <w:tcBorders>
              <w:left w:val="double" w:color="auto" w:sz="4" w:space="0"/>
            </w:tcBorders>
            <w:vAlign w:val="center"/>
          </w:tcPr>
          <w:p w14:paraId="78EA2604">
            <w:pPr>
              <w:pStyle w:val="14"/>
              <w:widowControl w:val="0"/>
            </w:pPr>
            <w:r>
              <w:t>2</w:t>
            </w:r>
            <w:r>
              <w:rPr>
                <w:rFonts w:hint="eastAsia"/>
              </w:rPr>
              <w:t>0</w:t>
            </w:r>
          </w:p>
        </w:tc>
        <w:tc>
          <w:tcPr>
            <w:tcW w:w="632" w:type="dxa"/>
            <w:tcBorders>
              <w:left w:val="double" w:color="auto" w:sz="4" w:space="0"/>
            </w:tcBorders>
            <w:vAlign w:val="center"/>
          </w:tcPr>
          <w:p w14:paraId="49C156B9">
            <w:pPr>
              <w:pStyle w:val="14"/>
              <w:widowControl w:val="0"/>
            </w:pPr>
            <w:r>
              <w:rPr>
                <w:rFonts w:hint="eastAsia"/>
              </w:rPr>
              <w:t>2</w:t>
            </w:r>
            <w:r>
              <w:t>0</w:t>
            </w:r>
          </w:p>
        </w:tc>
        <w:tc>
          <w:tcPr>
            <w:tcW w:w="643" w:type="dxa"/>
            <w:tcBorders>
              <w:left w:val="double" w:color="auto" w:sz="4" w:space="0"/>
            </w:tcBorders>
            <w:vAlign w:val="center"/>
          </w:tcPr>
          <w:p w14:paraId="1928C702">
            <w:pPr>
              <w:pStyle w:val="14"/>
              <w:widowControl w:val="0"/>
            </w:pPr>
            <w:r>
              <w:rPr>
                <w:rFonts w:hint="eastAsia"/>
              </w:rPr>
              <w:t>1</w:t>
            </w:r>
            <w:r>
              <w:t>0</w:t>
            </w:r>
          </w:p>
        </w:tc>
        <w:tc>
          <w:tcPr>
            <w:tcW w:w="799" w:type="dxa"/>
            <w:tcBorders>
              <w:right w:val="single" w:color="auto" w:sz="12" w:space="0"/>
            </w:tcBorders>
            <w:vAlign w:val="center"/>
          </w:tcPr>
          <w:p w14:paraId="4C675C5C">
            <w:pPr>
              <w:pStyle w:val="14"/>
              <w:widowControl w:val="0"/>
            </w:pPr>
            <w:r>
              <w:rPr>
                <w:rFonts w:hint="eastAsia"/>
              </w:rPr>
              <w:t>1</w:t>
            </w:r>
            <w:r>
              <w:t>00</w:t>
            </w:r>
          </w:p>
        </w:tc>
      </w:tr>
      <w:tr w14:paraId="54A54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A3CB5AA">
            <w:pPr>
              <w:widowControl w:val="0"/>
              <w:snapToGrid w:val="0"/>
              <w:jc w:val="center"/>
              <w:rPr>
                <w:rFonts w:ascii="Arial" w:hAnsi="Arial" w:eastAsia="黑体" w:cs="Arial"/>
                <w:bCs/>
                <w:sz w:val="21"/>
                <w:szCs w:val="21"/>
                <w:vertAlign w:val="subscript"/>
              </w:rPr>
            </w:pPr>
            <w:r>
              <w:rPr>
                <w:rFonts w:ascii="Arial" w:hAnsi="Arial" w:eastAsia="黑体" w:cs="Arial"/>
                <w:bCs/>
                <w:sz w:val="21"/>
                <w:szCs w:val="21"/>
              </w:rPr>
              <w:t>X</w:t>
            </w:r>
            <w:r>
              <w:rPr>
                <w:rFonts w:ascii="Arial" w:hAnsi="Arial" w:eastAsia="黑体" w:cs="Arial"/>
                <w:bCs/>
                <w:sz w:val="21"/>
                <w:szCs w:val="21"/>
                <w:vertAlign w:val="subscript"/>
              </w:rPr>
              <w:t>4</w:t>
            </w:r>
          </w:p>
        </w:tc>
        <w:tc>
          <w:tcPr>
            <w:tcW w:w="709" w:type="dxa"/>
            <w:vAlign w:val="center"/>
          </w:tcPr>
          <w:p w14:paraId="6612120C">
            <w:pPr>
              <w:pStyle w:val="14"/>
              <w:widowControl w:val="0"/>
            </w:pPr>
            <w:r>
              <w:rPr>
                <w:rFonts w:hint="eastAsia"/>
                <w:szCs w:val="24"/>
              </w:rPr>
              <w:t>1</w:t>
            </w:r>
            <w:r>
              <w:rPr>
                <w:szCs w:val="24"/>
              </w:rPr>
              <w:t>5</w:t>
            </w:r>
            <w:r>
              <w:rPr>
                <w:rFonts w:hint="eastAsia"/>
                <w:szCs w:val="24"/>
              </w:rPr>
              <w:t>%</w:t>
            </w:r>
          </w:p>
        </w:tc>
        <w:tc>
          <w:tcPr>
            <w:tcW w:w="2532" w:type="dxa"/>
            <w:tcBorders>
              <w:right w:val="double" w:color="auto" w:sz="4" w:space="0"/>
            </w:tcBorders>
            <w:vAlign w:val="center"/>
          </w:tcPr>
          <w:p w14:paraId="5E4B47A6">
            <w:pPr>
              <w:pStyle w:val="14"/>
              <w:widowControl w:val="0"/>
            </w:pPr>
            <w:r>
              <w:rPr>
                <w:rFonts w:hint="eastAsia"/>
              </w:rPr>
              <w:t>考勤及课后作业</w:t>
            </w:r>
          </w:p>
        </w:tc>
        <w:tc>
          <w:tcPr>
            <w:tcW w:w="709" w:type="dxa"/>
            <w:tcBorders>
              <w:left w:val="double" w:color="auto" w:sz="4" w:space="0"/>
            </w:tcBorders>
            <w:vAlign w:val="center"/>
          </w:tcPr>
          <w:p w14:paraId="09089DB9">
            <w:pPr>
              <w:pStyle w:val="14"/>
              <w:widowControl w:val="0"/>
            </w:pPr>
            <w:r>
              <w:t>30</w:t>
            </w:r>
          </w:p>
        </w:tc>
        <w:tc>
          <w:tcPr>
            <w:tcW w:w="709" w:type="dxa"/>
            <w:tcBorders>
              <w:left w:val="double" w:color="auto" w:sz="4" w:space="0"/>
            </w:tcBorders>
            <w:vAlign w:val="center"/>
          </w:tcPr>
          <w:p w14:paraId="2A9783B2">
            <w:pPr>
              <w:pStyle w:val="14"/>
              <w:widowControl w:val="0"/>
            </w:pPr>
            <w:r>
              <w:rPr>
                <w:rFonts w:hint="eastAsia"/>
              </w:rPr>
              <w:t>10</w:t>
            </w:r>
          </w:p>
        </w:tc>
        <w:tc>
          <w:tcPr>
            <w:tcW w:w="709" w:type="dxa"/>
            <w:tcBorders>
              <w:left w:val="double" w:color="auto" w:sz="4" w:space="0"/>
            </w:tcBorders>
            <w:vAlign w:val="center"/>
          </w:tcPr>
          <w:p w14:paraId="11A41411">
            <w:pPr>
              <w:pStyle w:val="14"/>
              <w:widowControl w:val="0"/>
            </w:pPr>
            <w:r>
              <w:rPr>
                <w:rFonts w:hint="eastAsia"/>
              </w:rPr>
              <w:t>30</w:t>
            </w:r>
          </w:p>
        </w:tc>
        <w:tc>
          <w:tcPr>
            <w:tcW w:w="632" w:type="dxa"/>
            <w:tcBorders>
              <w:left w:val="double" w:color="auto" w:sz="4" w:space="0"/>
            </w:tcBorders>
            <w:vAlign w:val="center"/>
          </w:tcPr>
          <w:p w14:paraId="5EA27FD4">
            <w:pPr>
              <w:pStyle w:val="14"/>
              <w:widowControl w:val="0"/>
            </w:pPr>
            <w:r>
              <w:rPr>
                <w:rFonts w:hint="eastAsia"/>
              </w:rPr>
              <w:t>10</w:t>
            </w:r>
          </w:p>
        </w:tc>
        <w:tc>
          <w:tcPr>
            <w:tcW w:w="643" w:type="dxa"/>
            <w:tcBorders>
              <w:left w:val="double" w:color="auto" w:sz="4" w:space="0"/>
            </w:tcBorders>
            <w:vAlign w:val="center"/>
          </w:tcPr>
          <w:p w14:paraId="1B0ED5F0">
            <w:pPr>
              <w:pStyle w:val="14"/>
              <w:widowControl w:val="0"/>
            </w:pPr>
            <w:r>
              <w:t>2</w:t>
            </w:r>
            <w:r>
              <w:rPr>
                <w:rFonts w:hint="eastAsia"/>
              </w:rPr>
              <w:t>0</w:t>
            </w:r>
          </w:p>
        </w:tc>
        <w:tc>
          <w:tcPr>
            <w:tcW w:w="799" w:type="dxa"/>
            <w:tcBorders>
              <w:right w:val="single" w:color="auto" w:sz="12" w:space="0"/>
            </w:tcBorders>
            <w:vAlign w:val="center"/>
          </w:tcPr>
          <w:p w14:paraId="23321D93">
            <w:pPr>
              <w:pStyle w:val="14"/>
              <w:widowControl w:val="0"/>
            </w:pPr>
            <w:r>
              <w:rPr>
                <w:rFonts w:hint="eastAsia"/>
              </w:rPr>
              <w:t>1</w:t>
            </w:r>
            <w:r>
              <w:t>00</w:t>
            </w:r>
          </w:p>
        </w:tc>
      </w:tr>
    </w:tbl>
    <w:p w14:paraId="031C0E6E">
      <w:pPr>
        <w:pStyle w:val="16"/>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Math">
    <w:panose1 w:val="02040503050406030204"/>
    <w:charset w:val="00"/>
    <w:family w:val="roman"/>
    <w:pitch w:val="default"/>
    <w:sig w:usb0="E00002FF" w:usb1="42002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等线"/>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582C0">
    <w:pPr>
      <w:jc w:val="right"/>
      <w:rPr>
        <w:rFonts w:hint="eastAsia" w:ascii="方正小标宋简体" w:hAnsi="方正小标宋简体" w:eastAsia="方正小标宋简体"/>
      </w:rPr>
    </w:pPr>
    <w:r>
      <mc:AlternateContent>
        <mc:Choice Requires="wps">
          <w:drawing>
            <wp:anchor distT="0" distB="0" distL="114300" distR="114300" simplePos="0" relativeHeight="251660288"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26030853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2CC9392">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60288;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4ZKZ&#10;1AAAAAkBAAAPAAAAAAAAAAEAIAAAACIAAABkcnMvZG93bnJldi54bWxQSwECFAAUAAAACACHTuJA&#10;NpZT1F4CAAClBAAADgAAAAAAAAABACAAAAAjAQAAZHJzL2Uyb0RvYy54bWxQSwUGAAAAAAYABgBZ&#10;AQAA8wUAAAAA&#10;">
              <v:fill on="t" focussize="0,0"/>
              <v:stroke on="f" weight="0.5pt"/>
              <v:imagedata o:title=""/>
              <o:lock v:ext="edit" aspectratio="f"/>
              <v:textbox>
                <w:txbxContent>
                  <w:p w14:paraId="42CC9392">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llMTZjOTY0YmM1MGJjZWQyMjJhNGU2NzcwOWIwNmQifQ=="/>
  </w:docVars>
  <w:rsids>
    <w:rsidRoot w:val="00172A27"/>
    <w:rsid w:val="000002E4"/>
    <w:rsid w:val="000160BE"/>
    <w:rsid w:val="000203E0"/>
    <w:rsid w:val="000210E0"/>
    <w:rsid w:val="00021921"/>
    <w:rsid w:val="0002577A"/>
    <w:rsid w:val="00033082"/>
    <w:rsid w:val="00044088"/>
    <w:rsid w:val="00045E3A"/>
    <w:rsid w:val="00053590"/>
    <w:rsid w:val="0006001D"/>
    <w:rsid w:val="00066041"/>
    <w:rsid w:val="00076794"/>
    <w:rsid w:val="00076867"/>
    <w:rsid w:val="0008122A"/>
    <w:rsid w:val="00083AE5"/>
    <w:rsid w:val="00087488"/>
    <w:rsid w:val="0009050A"/>
    <w:rsid w:val="0009721F"/>
    <w:rsid w:val="000A4E73"/>
    <w:rsid w:val="000A79F2"/>
    <w:rsid w:val="000B1BD2"/>
    <w:rsid w:val="000C0F0D"/>
    <w:rsid w:val="000C13BC"/>
    <w:rsid w:val="000C4A5D"/>
    <w:rsid w:val="000C66EE"/>
    <w:rsid w:val="000D28E5"/>
    <w:rsid w:val="000D34D7"/>
    <w:rsid w:val="000D7329"/>
    <w:rsid w:val="000E4EAC"/>
    <w:rsid w:val="000F657C"/>
    <w:rsid w:val="00100633"/>
    <w:rsid w:val="00106FAB"/>
    <w:rsid w:val="001072BC"/>
    <w:rsid w:val="00114BD6"/>
    <w:rsid w:val="00130F6D"/>
    <w:rsid w:val="00131133"/>
    <w:rsid w:val="00133554"/>
    <w:rsid w:val="00143F59"/>
    <w:rsid w:val="00144082"/>
    <w:rsid w:val="00147389"/>
    <w:rsid w:val="00153DD8"/>
    <w:rsid w:val="0016381F"/>
    <w:rsid w:val="00163A48"/>
    <w:rsid w:val="00164BA3"/>
    <w:rsid w:val="00164E36"/>
    <w:rsid w:val="001668F7"/>
    <w:rsid w:val="001678A2"/>
    <w:rsid w:val="00172A27"/>
    <w:rsid w:val="00183AA1"/>
    <w:rsid w:val="0018767C"/>
    <w:rsid w:val="001A085B"/>
    <w:rsid w:val="001A135C"/>
    <w:rsid w:val="001A4C95"/>
    <w:rsid w:val="001B0D49"/>
    <w:rsid w:val="001B546F"/>
    <w:rsid w:val="001B55A9"/>
    <w:rsid w:val="001C16FC"/>
    <w:rsid w:val="001C2E3E"/>
    <w:rsid w:val="001C388D"/>
    <w:rsid w:val="001D7088"/>
    <w:rsid w:val="001E0494"/>
    <w:rsid w:val="001E1D2D"/>
    <w:rsid w:val="001E5A17"/>
    <w:rsid w:val="001F284E"/>
    <w:rsid w:val="001F332E"/>
    <w:rsid w:val="00217861"/>
    <w:rsid w:val="002204E4"/>
    <w:rsid w:val="002211BF"/>
    <w:rsid w:val="00233F15"/>
    <w:rsid w:val="002420F1"/>
    <w:rsid w:val="00253AC8"/>
    <w:rsid w:val="00256B39"/>
    <w:rsid w:val="00256BB3"/>
    <w:rsid w:val="00256CFB"/>
    <w:rsid w:val="0026033C"/>
    <w:rsid w:val="00261409"/>
    <w:rsid w:val="002645FD"/>
    <w:rsid w:val="00271BE3"/>
    <w:rsid w:val="0027339A"/>
    <w:rsid w:val="00273B23"/>
    <w:rsid w:val="00274E82"/>
    <w:rsid w:val="002757AB"/>
    <w:rsid w:val="0027777C"/>
    <w:rsid w:val="00277FE7"/>
    <w:rsid w:val="002811C2"/>
    <w:rsid w:val="002877FA"/>
    <w:rsid w:val="00290962"/>
    <w:rsid w:val="0029110B"/>
    <w:rsid w:val="002A305C"/>
    <w:rsid w:val="002A4649"/>
    <w:rsid w:val="002A7227"/>
    <w:rsid w:val="002B0773"/>
    <w:rsid w:val="002B0C48"/>
    <w:rsid w:val="002B13CA"/>
    <w:rsid w:val="002B3650"/>
    <w:rsid w:val="002B5821"/>
    <w:rsid w:val="002B7322"/>
    <w:rsid w:val="002C58B6"/>
    <w:rsid w:val="002D0E86"/>
    <w:rsid w:val="002D525C"/>
    <w:rsid w:val="002D7C47"/>
    <w:rsid w:val="002E33CE"/>
    <w:rsid w:val="002E3721"/>
    <w:rsid w:val="002E5925"/>
    <w:rsid w:val="002E6F95"/>
    <w:rsid w:val="002E764D"/>
    <w:rsid w:val="002F3157"/>
    <w:rsid w:val="002F6BD5"/>
    <w:rsid w:val="00301D1E"/>
    <w:rsid w:val="00305F23"/>
    <w:rsid w:val="0031180E"/>
    <w:rsid w:val="00313BBA"/>
    <w:rsid w:val="00317E29"/>
    <w:rsid w:val="00321515"/>
    <w:rsid w:val="0032602E"/>
    <w:rsid w:val="00327B8C"/>
    <w:rsid w:val="00331638"/>
    <w:rsid w:val="00333BCE"/>
    <w:rsid w:val="003344A7"/>
    <w:rsid w:val="00334623"/>
    <w:rsid w:val="003367AE"/>
    <w:rsid w:val="00340439"/>
    <w:rsid w:val="00344EF2"/>
    <w:rsid w:val="00347EB8"/>
    <w:rsid w:val="00347F80"/>
    <w:rsid w:val="00353F74"/>
    <w:rsid w:val="003557DE"/>
    <w:rsid w:val="00361BEB"/>
    <w:rsid w:val="00363C65"/>
    <w:rsid w:val="00365D31"/>
    <w:rsid w:val="00370184"/>
    <w:rsid w:val="00373C8A"/>
    <w:rsid w:val="003757E9"/>
    <w:rsid w:val="00377C10"/>
    <w:rsid w:val="00384A1F"/>
    <w:rsid w:val="00384D60"/>
    <w:rsid w:val="00385D41"/>
    <w:rsid w:val="003861BA"/>
    <w:rsid w:val="0038725C"/>
    <w:rsid w:val="003A1680"/>
    <w:rsid w:val="003A373C"/>
    <w:rsid w:val="003A5874"/>
    <w:rsid w:val="003B1258"/>
    <w:rsid w:val="003B23C9"/>
    <w:rsid w:val="003B4A81"/>
    <w:rsid w:val="003C1F8D"/>
    <w:rsid w:val="003C2D9B"/>
    <w:rsid w:val="003C61A5"/>
    <w:rsid w:val="003D012F"/>
    <w:rsid w:val="003D01A9"/>
    <w:rsid w:val="003D1968"/>
    <w:rsid w:val="003D4994"/>
    <w:rsid w:val="003D623D"/>
    <w:rsid w:val="003E10A5"/>
    <w:rsid w:val="003E7D72"/>
    <w:rsid w:val="003F3923"/>
    <w:rsid w:val="003F43F6"/>
    <w:rsid w:val="003F590A"/>
    <w:rsid w:val="004019DB"/>
    <w:rsid w:val="00402B67"/>
    <w:rsid w:val="00403C91"/>
    <w:rsid w:val="0040433E"/>
    <w:rsid w:val="00404974"/>
    <w:rsid w:val="00406ECF"/>
    <w:rsid w:val="0040726A"/>
    <w:rsid w:val="004100B0"/>
    <w:rsid w:val="0041267F"/>
    <w:rsid w:val="004142D3"/>
    <w:rsid w:val="00424BA5"/>
    <w:rsid w:val="00425431"/>
    <w:rsid w:val="00431829"/>
    <w:rsid w:val="00437B60"/>
    <w:rsid w:val="004405E6"/>
    <w:rsid w:val="004426F1"/>
    <w:rsid w:val="00443C84"/>
    <w:rsid w:val="00443C89"/>
    <w:rsid w:val="00452B7D"/>
    <w:rsid w:val="004540AA"/>
    <w:rsid w:val="00456BD8"/>
    <w:rsid w:val="00456DC8"/>
    <w:rsid w:val="0046549D"/>
    <w:rsid w:val="00471668"/>
    <w:rsid w:val="004747B8"/>
    <w:rsid w:val="00480CCF"/>
    <w:rsid w:val="00481F98"/>
    <w:rsid w:val="004852BF"/>
    <w:rsid w:val="00487A46"/>
    <w:rsid w:val="00493504"/>
    <w:rsid w:val="00494579"/>
    <w:rsid w:val="00497168"/>
    <w:rsid w:val="00497334"/>
    <w:rsid w:val="004A3DAC"/>
    <w:rsid w:val="004A4645"/>
    <w:rsid w:val="004A6F3A"/>
    <w:rsid w:val="004B1442"/>
    <w:rsid w:val="004B408D"/>
    <w:rsid w:val="004B6F68"/>
    <w:rsid w:val="004B73F7"/>
    <w:rsid w:val="004C1E8A"/>
    <w:rsid w:val="004C5B36"/>
    <w:rsid w:val="004D3745"/>
    <w:rsid w:val="004D4FB3"/>
    <w:rsid w:val="004D75A6"/>
    <w:rsid w:val="004E3456"/>
    <w:rsid w:val="004F0221"/>
    <w:rsid w:val="004F3DF0"/>
    <w:rsid w:val="005074E1"/>
    <w:rsid w:val="005126F1"/>
    <w:rsid w:val="00513D3D"/>
    <w:rsid w:val="00513F2F"/>
    <w:rsid w:val="0051403F"/>
    <w:rsid w:val="0051612A"/>
    <w:rsid w:val="00517176"/>
    <w:rsid w:val="0052192E"/>
    <w:rsid w:val="00524300"/>
    <w:rsid w:val="00541F72"/>
    <w:rsid w:val="00542388"/>
    <w:rsid w:val="00543FC6"/>
    <w:rsid w:val="00544523"/>
    <w:rsid w:val="005467DC"/>
    <w:rsid w:val="00546A82"/>
    <w:rsid w:val="00547C51"/>
    <w:rsid w:val="00551335"/>
    <w:rsid w:val="005519BB"/>
    <w:rsid w:val="005523FD"/>
    <w:rsid w:val="00553D03"/>
    <w:rsid w:val="00555BA0"/>
    <w:rsid w:val="00556E41"/>
    <w:rsid w:val="0057496F"/>
    <w:rsid w:val="005770A6"/>
    <w:rsid w:val="00587164"/>
    <w:rsid w:val="0059045B"/>
    <w:rsid w:val="00591EDE"/>
    <w:rsid w:val="005940D6"/>
    <w:rsid w:val="00596E16"/>
    <w:rsid w:val="00597EC2"/>
    <w:rsid w:val="005A13AB"/>
    <w:rsid w:val="005B1150"/>
    <w:rsid w:val="005B1FFC"/>
    <w:rsid w:val="005B2B6D"/>
    <w:rsid w:val="005B4B4E"/>
    <w:rsid w:val="005C3A76"/>
    <w:rsid w:val="005D5B6F"/>
    <w:rsid w:val="005E38A5"/>
    <w:rsid w:val="005E7118"/>
    <w:rsid w:val="005F5185"/>
    <w:rsid w:val="00603355"/>
    <w:rsid w:val="00604E27"/>
    <w:rsid w:val="006179AB"/>
    <w:rsid w:val="0062115C"/>
    <w:rsid w:val="00622101"/>
    <w:rsid w:val="0062265B"/>
    <w:rsid w:val="00624B5C"/>
    <w:rsid w:val="00624FE1"/>
    <w:rsid w:val="0062577D"/>
    <w:rsid w:val="0063249D"/>
    <w:rsid w:val="006331EE"/>
    <w:rsid w:val="006332DC"/>
    <w:rsid w:val="00633E09"/>
    <w:rsid w:val="006355E6"/>
    <w:rsid w:val="00637463"/>
    <w:rsid w:val="00637E00"/>
    <w:rsid w:val="0064038A"/>
    <w:rsid w:val="00644D2E"/>
    <w:rsid w:val="0065167D"/>
    <w:rsid w:val="00652D13"/>
    <w:rsid w:val="0066595A"/>
    <w:rsid w:val="00666206"/>
    <w:rsid w:val="00672788"/>
    <w:rsid w:val="00676183"/>
    <w:rsid w:val="00680DA3"/>
    <w:rsid w:val="0068377F"/>
    <w:rsid w:val="00686A9E"/>
    <w:rsid w:val="00691B24"/>
    <w:rsid w:val="00695B93"/>
    <w:rsid w:val="00696887"/>
    <w:rsid w:val="00697C16"/>
    <w:rsid w:val="006A2E65"/>
    <w:rsid w:val="006A5A89"/>
    <w:rsid w:val="006B3BB9"/>
    <w:rsid w:val="006B48AC"/>
    <w:rsid w:val="006B5977"/>
    <w:rsid w:val="006D1B59"/>
    <w:rsid w:val="006D2F9C"/>
    <w:rsid w:val="006D4351"/>
    <w:rsid w:val="006D5424"/>
    <w:rsid w:val="006E5CA9"/>
    <w:rsid w:val="006E5E98"/>
    <w:rsid w:val="006E7A37"/>
    <w:rsid w:val="006F0D42"/>
    <w:rsid w:val="006F127F"/>
    <w:rsid w:val="006F3151"/>
    <w:rsid w:val="006F4897"/>
    <w:rsid w:val="006F6A1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453F9"/>
    <w:rsid w:val="00750501"/>
    <w:rsid w:val="00761B3B"/>
    <w:rsid w:val="00764FD9"/>
    <w:rsid w:val="007740B2"/>
    <w:rsid w:val="00774C1F"/>
    <w:rsid w:val="0078194F"/>
    <w:rsid w:val="007934A4"/>
    <w:rsid w:val="007A0AC9"/>
    <w:rsid w:val="007A1B70"/>
    <w:rsid w:val="007A5157"/>
    <w:rsid w:val="007A57F6"/>
    <w:rsid w:val="007A6D94"/>
    <w:rsid w:val="007B45B6"/>
    <w:rsid w:val="007B4FFB"/>
    <w:rsid w:val="007C0BCE"/>
    <w:rsid w:val="007C1D1B"/>
    <w:rsid w:val="007C30C5"/>
    <w:rsid w:val="007C3566"/>
    <w:rsid w:val="007C794A"/>
    <w:rsid w:val="007D3BC0"/>
    <w:rsid w:val="007D3D44"/>
    <w:rsid w:val="007D5326"/>
    <w:rsid w:val="007D5A33"/>
    <w:rsid w:val="007E4F3A"/>
    <w:rsid w:val="007E620F"/>
    <w:rsid w:val="007E663C"/>
    <w:rsid w:val="007E7795"/>
    <w:rsid w:val="0080066B"/>
    <w:rsid w:val="00803578"/>
    <w:rsid w:val="00813E26"/>
    <w:rsid w:val="00815B8D"/>
    <w:rsid w:val="00815B8E"/>
    <w:rsid w:val="00816D99"/>
    <w:rsid w:val="0082324C"/>
    <w:rsid w:val="00823D71"/>
    <w:rsid w:val="008245AF"/>
    <w:rsid w:val="008256B9"/>
    <w:rsid w:val="0083705D"/>
    <w:rsid w:val="0084242F"/>
    <w:rsid w:val="00845795"/>
    <w:rsid w:val="00847437"/>
    <w:rsid w:val="00871FE9"/>
    <w:rsid w:val="00882E15"/>
    <w:rsid w:val="00883C73"/>
    <w:rsid w:val="008901A2"/>
    <w:rsid w:val="0089402C"/>
    <w:rsid w:val="008A08B0"/>
    <w:rsid w:val="008A64E6"/>
    <w:rsid w:val="008B0385"/>
    <w:rsid w:val="008B1082"/>
    <w:rsid w:val="008B188E"/>
    <w:rsid w:val="008B397C"/>
    <w:rsid w:val="008B3CB1"/>
    <w:rsid w:val="008B47F4"/>
    <w:rsid w:val="008B4B33"/>
    <w:rsid w:val="008B571B"/>
    <w:rsid w:val="008B7448"/>
    <w:rsid w:val="008B7E1E"/>
    <w:rsid w:val="008C2AE6"/>
    <w:rsid w:val="008C2DE8"/>
    <w:rsid w:val="008C5113"/>
    <w:rsid w:val="008C5B8A"/>
    <w:rsid w:val="008D3D5F"/>
    <w:rsid w:val="008D4E81"/>
    <w:rsid w:val="008D505F"/>
    <w:rsid w:val="008E0F55"/>
    <w:rsid w:val="008E585B"/>
    <w:rsid w:val="008F253F"/>
    <w:rsid w:val="008F7F31"/>
    <w:rsid w:val="00900019"/>
    <w:rsid w:val="009023B1"/>
    <w:rsid w:val="00907932"/>
    <w:rsid w:val="009147D6"/>
    <w:rsid w:val="00914D98"/>
    <w:rsid w:val="00925F8C"/>
    <w:rsid w:val="00927324"/>
    <w:rsid w:val="009328D7"/>
    <w:rsid w:val="00932ED7"/>
    <w:rsid w:val="009333A5"/>
    <w:rsid w:val="00933990"/>
    <w:rsid w:val="00941B89"/>
    <w:rsid w:val="00941DEA"/>
    <w:rsid w:val="009603C6"/>
    <w:rsid w:val="009656CC"/>
    <w:rsid w:val="00970E8C"/>
    <w:rsid w:val="00971671"/>
    <w:rsid w:val="00981A37"/>
    <w:rsid w:val="009830B2"/>
    <w:rsid w:val="0099063E"/>
    <w:rsid w:val="00992356"/>
    <w:rsid w:val="00992674"/>
    <w:rsid w:val="00994793"/>
    <w:rsid w:val="00996AE3"/>
    <w:rsid w:val="009A0450"/>
    <w:rsid w:val="009A1E27"/>
    <w:rsid w:val="009A307B"/>
    <w:rsid w:val="009A451A"/>
    <w:rsid w:val="009B04E7"/>
    <w:rsid w:val="009B14E8"/>
    <w:rsid w:val="009B4D21"/>
    <w:rsid w:val="009B5A73"/>
    <w:rsid w:val="009B7E5D"/>
    <w:rsid w:val="009C54C9"/>
    <w:rsid w:val="009C589C"/>
    <w:rsid w:val="009D192B"/>
    <w:rsid w:val="009D2582"/>
    <w:rsid w:val="009D33E1"/>
    <w:rsid w:val="009D3B45"/>
    <w:rsid w:val="009D7CF9"/>
    <w:rsid w:val="009E2CCC"/>
    <w:rsid w:val="009E2CDD"/>
    <w:rsid w:val="009E366E"/>
    <w:rsid w:val="009E5F42"/>
    <w:rsid w:val="009E6FC4"/>
    <w:rsid w:val="009F00DC"/>
    <w:rsid w:val="009F3199"/>
    <w:rsid w:val="009F3355"/>
    <w:rsid w:val="009F3648"/>
    <w:rsid w:val="009F3B7A"/>
    <w:rsid w:val="009F54D0"/>
    <w:rsid w:val="00A04523"/>
    <w:rsid w:val="00A07235"/>
    <w:rsid w:val="00A16159"/>
    <w:rsid w:val="00A161E6"/>
    <w:rsid w:val="00A17885"/>
    <w:rsid w:val="00A2337D"/>
    <w:rsid w:val="00A25A31"/>
    <w:rsid w:val="00A31BBE"/>
    <w:rsid w:val="00A31D34"/>
    <w:rsid w:val="00A333EF"/>
    <w:rsid w:val="00A33F85"/>
    <w:rsid w:val="00A341B0"/>
    <w:rsid w:val="00A34AF8"/>
    <w:rsid w:val="00A40645"/>
    <w:rsid w:val="00A6016C"/>
    <w:rsid w:val="00A74B00"/>
    <w:rsid w:val="00A769B1"/>
    <w:rsid w:val="00A77DA3"/>
    <w:rsid w:val="00A837D5"/>
    <w:rsid w:val="00A83E04"/>
    <w:rsid w:val="00A87F9C"/>
    <w:rsid w:val="00A91091"/>
    <w:rsid w:val="00A93EE3"/>
    <w:rsid w:val="00A94BA9"/>
    <w:rsid w:val="00A976A4"/>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38E6"/>
    <w:rsid w:val="00B37D43"/>
    <w:rsid w:val="00B46F21"/>
    <w:rsid w:val="00B511A5"/>
    <w:rsid w:val="00B51CDE"/>
    <w:rsid w:val="00B56541"/>
    <w:rsid w:val="00B605ED"/>
    <w:rsid w:val="00B71F97"/>
    <w:rsid w:val="00B72538"/>
    <w:rsid w:val="00B736A7"/>
    <w:rsid w:val="00B7651F"/>
    <w:rsid w:val="00B919FA"/>
    <w:rsid w:val="00B94A16"/>
    <w:rsid w:val="00B957E8"/>
    <w:rsid w:val="00B96B85"/>
    <w:rsid w:val="00BA6044"/>
    <w:rsid w:val="00BA6441"/>
    <w:rsid w:val="00BB1A93"/>
    <w:rsid w:val="00BB2350"/>
    <w:rsid w:val="00BC14BF"/>
    <w:rsid w:val="00BC1B10"/>
    <w:rsid w:val="00BC2625"/>
    <w:rsid w:val="00BC303E"/>
    <w:rsid w:val="00BC3200"/>
    <w:rsid w:val="00BC338A"/>
    <w:rsid w:val="00BD7AB0"/>
    <w:rsid w:val="00BE04ED"/>
    <w:rsid w:val="00BE2696"/>
    <w:rsid w:val="00BF3C20"/>
    <w:rsid w:val="00C003BD"/>
    <w:rsid w:val="00C011BC"/>
    <w:rsid w:val="00C03DBA"/>
    <w:rsid w:val="00C112E7"/>
    <w:rsid w:val="00C11C78"/>
    <w:rsid w:val="00C11CD4"/>
    <w:rsid w:val="00C12A7C"/>
    <w:rsid w:val="00C15061"/>
    <w:rsid w:val="00C15084"/>
    <w:rsid w:val="00C1713D"/>
    <w:rsid w:val="00C20D9D"/>
    <w:rsid w:val="00C2134F"/>
    <w:rsid w:val="00C24718"/>
    <w:rsid w:val="00C2675D"/>
    <w:rsid w:val="00C30AEE"/>
    <w:rsid w:val="00C33362"/>
    <w:rsid w:val="00C353AE"/>
    <w:rsid w:val="00C4194E"/>
    <w:rsid w:val="00C516B1"/>
    <w:rsid w:val="00C53232"/>
    <w:rsid w:val="00C5350C"/>
    <w:rsid w:val="00C56E09"/>
    <w:rsid w:val="00C61B1B"/>
    <w:rsid w:val="00C66AB7"/>
    <w:rsid w:val="00C673D1"/>
    <w:rsid w:val="00C746CB"/>
    <w:rsid w:val="00C77BBF"/>
    <w:rsid w:val="00C77D64"/>
    <w:rsid w:val="00C81564"/>
    <w:rsid w:val="00C8313E"/>
    <w:rsid w:val="00C9080C"/>
    <w:rsid w:val="00C94429"/>
    <w:rsid w:val="00CA18FD"/>
    <w:rsid w:val="00CA27E5"/>
    <w:rsid w:val="00CA4897"/>
    <w:rsid w:val="00CA6928"/>
    <w:rsid w:val="00CB273A"/>
    <w:rsid w:val="00CB3D3F"/>
    <w:rsid w:val="00CB5A1A"/>
    <w:rsid w:val="00CC0799"/>
    <w:rsid w:val="00CC59E6"/>
    <w:rsid w:val="00CD5BDD"/>
    <w:rsid w:val="00CE7C03"/>
    <w:rsid w:val="00CF096B"/>
    <w:rsid w:val="00CF10F7"/>
    <w:rsid w:val="00CF5EE3"/>
    <w:rsid w:val="00CF691F"/>
    <w:rsid w:val="00D00D99"/>
    <w:rsid w:val="00D013A4"/>
    <w:rsid w:val="00D023A7"/>
    <w:rsid w:val="00D026DC"/>
    <w:rsid w:val="00D15595"/>
    <w:rsid w:val="00D343A8"/>
    <w:rsid w:val="00D343F8"/>
    <w:rsid w:val="00D35AAA"/>
    <w:rsid w:val="00D371E6"/>
    <w:rsid w:val="00D37832"/>
    <w:rsid w:val="00D44860"/>
    <w:rsid w:val="00D47689"/>
    <w:rsid w:val="00D50C42"/>
    <w:rsid w:val="00D57CF5"/>
    <w:rsid w:val="00D612BC"/>
    <w:rsid w:val="00D62F98"/>
    <w:rsid w:val="00D66FD6"/>
    <w:rsid w:val="00D8285B"/>
    <w:rsid w:val="00D862EB"/>
    <w:rsid w:val="00D86619"/>
    <w:rsid w:val="00D92E0D"/>
    <w:rsid w:val="00D93E7C"/>
    <w:rsid w:val="00DA7089"/>
    <w:rsid w:val="00DB075A"/>
    <w:rsid w:val="00DB2BE6"/>
    <w:rsid w:val="00DB76B3"/>
    <w:rsid w:val="00DC60DF"/>
    <w:rsid w:val="00DD1052"/>
    <w:rsid w:val="00DD3C7B"/>
    <w:rsid w:val="00DD416B"/>
    <w:rsid w:val="00DD7563"/>
    <w:rsid w:val="00DE2B21"/>
    <w:rsid w:val="00DE48DE"/>
    <w:rsid w:val="00DF02D8"/>
    <w:rsid w:val="00DF25F2"/>
    <w:rsid w:val="00DF4166"/>
    <w:rsid w:val="00E000F4"/>
    <w:rsid w:val="00E01231"/>
    <w:rsid w:val="00E04279"/>
    <w:rsid w:val="00E11393"/>
    <w:rsid w:val="00E125D9"/>
    <w:rsid w:val="00E13491"/>
    <w:rsid w:val="00E16D30"/>
    <w:rsid w:val="00E21D76"/>
    <w:rsid w:val="00E27AE0"/>
    <w:rsid w:val="00E31E69"/>
    <w:rsid w:val="00E33169"/>
    <w:rsid w:val="00E34A7B"/>
    <w:rsid w:val="00E34BFD"/>
    <w:rsid w:val="00E40973"/>
    <w:rsid w:val="00E425F3"/>
    <w:rsid w:val="00E545FF"/>
    <w:rsid w:val="00E6080E"/>
    <w:rsid w:val="00E64168"/>
    <w:rsid w:val="00E655B3"/>
    <w:rsid w:val="00E7002F"/>
    <w:rsid w:val="00E7081D"/>
    <w:rsid w:val="00E70904"/>
    <w:rsid w:val="00E71319"/>
    <w:rsid w:val="00E75171"/>
    <w:rsid w:val="00E804B0"/>
    <w:rsid w:val="00E86772"/>
    <w:rsid w:val="00E90B8B"/>
    <w:rsid w:val="00E93ADD"/>
    <w:rsid w:val="00E952D8"/>
    <w:rsid w:val="00EA7F12"/>
    <w:rsid w:val="00EB00E4"/>
    <w:rsid w:val="00EB28DA"/>
    <w:rsid w:val="00EB3812"/>
    <w:rsid w:val="00EB44A7"/>
    <w:rsid w:val="00EB44EB"/>
    <w:rsid w:val="00EB66B8"/>
    <w:rsid w:val="00EB752B"/>
    <w:rsid w:val="00EB791E"/>
    <w:rsid w:val="00EC70A9"/>
    <w:rsid w:val="00ED4C3A"/>
    <w:rsid w:val="00EE1C85"/>
    <w:rsid w:val="00EF21D9"/>
    <w:rsid w:val="00EF2A94"/>
    <w:rsid w:val="00EF32FB"/>
    <w:rsid w:val="00EF44B1"/>
    <w:rsid w:val="00EF4865"/>
    <w:rsid w:val="00EF5954"/>
    <w:rsid w:val="00EF5EE4"/>
    <w:rsid w:val="00F00E27"/>
    <w:rsid w:val="00F100D2"/>
    <w:rsid w:val="00F12942"/>
    <w:rsid w:val="00F13C41"/>
    <w:rsid w:val="00F14886"/>
    <w:rsid w:val="00F16421"/>
    <w:rsid w:val="00F201EE"/>
    <w:rsid w:val="00F35AA0"/>
    <w:rsid w:val="00F363AA"/>
    <w:rsid w:val="00F37EFD"/>
    <w:rsid w:val="00F43C49"/>
    <w:rsid w:val="00F45C12"/>
    <w:rsid w:val="00F51CA3"/>
    <w:rsid w:val="00F5444E"/>
    <w:rsid w:val="00F544A2"/>
    <w:rsid w:val="00F71392"/>
    <w:rsid w:val="00F73D03"/>
    <w:rsid w:val="00F76CB9"/>
    <w:rsid w:val="00F77A73"/>
    <w:rsid w:val="00F80E46"/>
    <w:rsid w:val="00F8501A"/>
    <w:rsid w:val="00F87A97"/>
    <w:rsid w:val="00F96236"/>
    <w:rsid w:val="00FA10CE"/>
    <w:rsid w:val="00FA222F"/>
    <w:rsid w:val="00FA2891"/>
    <w:rsid w:val="00FB2976"/>
    <w:rsid w:val="00FB693D"/>
    <w:rsid w:val="00FB7768"/>
    <w:rsid w:val="00FC6FA5"/>
    <w:rsid w:val="00FC7489"/>
    <w:rsid w:val="00FD1BA8"/>
    <w:rsid w:val="00FD218F"/>
    <w:rsid w:val="00FD5663"/>
    <w:rsid w:val="00FD56C6"/>
    <w:rsid w:val="00FE3221"/>
    <w:rsid w:val="00FE48EA"/>
    <w:rsid w:val="00FE571F"/>
    <w:rsid w:val="00FF0698"/>
    <w:rsid w:val="00FF08F6"/>
    <w:rsid w:val="00FF47F6"/>
    <w:rsid w:val="00FF6759"/>
    <w:rsid w:val="016E63C2"/>
    <w:rsid w:val="024B0C39"/>
    <w:rsid w:val="031E278B"/>
    <w:rsid w:val="0A8128A6"/>
    <w:rsid w:val="0BF32A1B"/>
    <w:rsid w:val="10BD2C22"/>
    <w:rsid w:val="22987C80"/>
    <w:rsid w:val="23EE1EFC"/>
    <w:rsid w:val="24192CCC"/>
    <w:rsid w:val="25FB36EC"/>
    <w:rsid w:val="275A59B4"/>
    <w:rsid w:val="2D502F2B"/>
    <w:rsid w:val="341C228B"/>
    <w:rsid w:val="39A66CD4"/>
    <w:rsid w:val="3CD52CE1"/>
    <w:rsid w:val="410F2E6A"/>
    <w:rsid w:val="4430136C"/>
    <w:rsid w:val="45260E40"/>
    <w:rsid w:val="478657BA"/>
    <w:rsid w:val="4AB0382B"/>
    <w:rsid w:val="4CF84CBE"/>
    <w:rsid w:val="50115BCE"/>
    <w:rsid w:val="569868B5"/>
    <w:rsid w:val="611F6817"/>
    <w:rsid w:val="6181593A"/>
    <w:rsid w:val="636B1FDC"/>
    <w:rsid w:val="64E30D41"/>
    <w:rsid w:val="66CA1754"/>
    <w:rsid w:val="694F3860"/>
    <w:rsid w:val="6F1E65D4"/>
    <w:rsid w:val="6F266C86"/>
    <w:rsid w:val="6F5042C2"/>
    <w:rsid w:val="74316312"/>
    <w:rsid w:val="780F13C8"/>
    <w:rsid w:val="7C385448"/>
    <w:rsid w:val="7CB3663D"/>
    <w:rsid w:val="7E273C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Template>
  <Pages>7</Pages>
  <Words>919</Words>
  <Characters>1007</Characters>
  <Lines>44</Lines>
  <Paragraphs>12</Paragraphs>
  <TotalTime>0</TotalTime>
  <ScaleCrop>false</ScaleCrop>
  <LinksUpToDate>false</LinksUpToDate>
  <CharactersWithSpaces>1029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2025-02-18T03:31:00Z</dcterms:created>
  <dc:creator>juvg</dc:creator>
  <cp:lastModifiedBy>今天天气真好.</cp:lastModifiedBy>
  <cp:lastPrinted>2023-11-21T00:52:00Z</cp:lastPrinted>
  <dcterms:modified xsi:type="dcterms:W3CDTF">2025-03-14T05:29:16Z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75A5950F35E44E4099B8E2C8E0EA07EF_12</vt:lpwstr>
  </property>
  <property fmtid="{D5CDD505-2E9C-101B-9397-08002B2CF9AE}" pid="4" name="KSOTemplateDocerSaveRecord">
    <vt:lpwstr>eyJoZGlkIjoiOWE3YzBmNTI5ZDlkNzdkNGQzMTc3Y2NhZjM2ZjBkMzciLCJ1c2VySWQiOiI2ODU0ODk4NDgifQ==</vt:lpwstr>
  </property>
</Properties>
</file>