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85142">
      <w:pPr>
        <w:jc w:val="center"/>
        <w:rPr>
          <w:rFonts w:ascii="黑体" w:hAnsi="黑体" w:eastAsia="黑体"/>
          <w:bCs/>
          <w:sz w:val="32"/>
          <w:szCs w:val="32"/>
        </w:rPr>
      </w:pPr>
      <w:r>
        <w:rPr>
          <w:rFonts w:hint="eastAsia" w:ascii="黑体" w:hAnsi="黑体" w:eastAsia="黑体"/>
          <w:bCs/>
          <w:sz w:val="32"/>
          <w:szCs w:val="32"/>
        </w:rPr>
        <w:t>《 综合英语(4)》本科课程教学大纲</w:t>
      </w:r>
    </w:p>
    <w:p w14:paraId="7D0B0A3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0C35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51495F7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42254E0">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color w:val="000000" w:themeColor="text1"/>
                <w:sz w:val="21"/>
                <w:szCs w:val="21"/>
                <w14:textFill>
                  <w14:solidFill>
                    <w14:schemeClr w14:val="tx1"/>
                  </w14:solidFill>
                </w14:textFill>
              </w:rPr>
              <w:t>综合英语(4)</w:t>
            </w:r>
          </w:p>
        </w:tc>
      </w:tr>
      <w:tr w14:paraId="1B2C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EBB7A96">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8B90BA">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Integrated English (4)</w:t>
            </w:r>
          </w:p>
        </w:tc>
      </w:tr>
      <w:tr w14:paraId="00BBA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93A9CA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968689E">
            <w:pPr>
              <w:widowControl w:val="0"/>
              <w:jc w:val="left"/>
              <w:rPr>
                <w:rFonts w:hint="default" w:ascii="黑体" w:hAnsi="黑体"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2020</w:t>
            </w:r>
            <w:r>
              <w:rPr>
                <w:rFonts w:hint="eastAsia"/>
                <w:color w:val="000000" w:themeColor="text1"/>
                <w:sz w:val="21"/>
                <w:szCs w:val="21"/>
                <w:lang w:val="en-US" w:eastAsia="zh-CN"/>
                <w14:textFill>
                  <w14:solidFill>
                    <w14:schemeClr w14:val="tx1"/>
                  </w14:solidFill>
                </w14:textFill>
              </w:rPr>
              <w:t>343</w:t>
            </w:r>
          </w:p>
        </w:tc>
        <w:tc>
          <w:tcPr>
            <w:tcW w:w="2126" w:type="dxa"/>
            <w:gridSpan w:val="2"/>
            <w:vAlign w:val="center"/>
          </w:tcPr>
          <w:p w14:paraId="03DD100C">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FD62C63">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r>
      <w:tr w14:paraId="5CDD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F72610B">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EF7AC6B">
            <w:pPr>
              <w:widowControl w:val="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64</w:t>
            </w:r>
          </w:p>
        </w:tc>
        <w:tc>
          <w:tcPr>
            <w:tcW w:w="1272" w:type="dxa"/>
            <w:vAlign w:val="center"/>
          </w:tcPr>
          <w:p w14:paraId="5C39D6B7">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0E3FCF3">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48</w:t>
            </w:r>
          </w:p>
        </w:tc>
        <w:tc>
          <w:tcPr>
            <w:tcW w:w="1413" w:type="dxa"/>
            <w:gridSpan w:val="2"/>
            <w:vAlign w:val="center"/>
          </w:tcPr>
          <w:p w14:paraId="0989EFE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8CF316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r>
      <w:tr w14:paraId="6E6E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BD20ED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74D3145D">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26E0583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C49D13D">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英语专业本科二年级</w:t>
            </w:r>
          </w:p>
        </w:tc>
      </w:tr>
      <w:tr w14:paraId="4F75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AF699B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C43ADED">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7B5ED18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E1DA9CA">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3A0C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241871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C30F6B3">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&lt;&lt;综合教程4&gt;&gt;何兆熊、9787544665087、上海外语教育出版社、第三版</w:t>
            </w:r>
          </w:p>
        </w:tc>
        <w:tc>
          <w:tcPr>
            <w:tcW w:w="1413" w:type="dxa"/>
            <w:gridSpan w:val="2"/>
            <w:vAlign w:val="center"/>
          </w:tcPr>
          <w:p w14:paraId="181C03C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05C9E7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2A05482">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FAF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85" w:hRule="atLeast"/>
        </w:trPr>
        <w:tc>
          <w:tcPr>
            <w:tcW w:w="1691" w:type="dxa"/>
            <w:tcBorders>
              <w:left w:val="single" w:color="auto" w:sz="12" w:space="0"/>
            </w:tcBorders>
            <w:shd w:val="clear" w:color="auto" w:fill="auto"/>
            <w:vAlign w:val="center"/>
          </w:tcPr>
          <w:p w14:paraId="2B00761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AE9E74F">
            <w:pPr>
              <w:pStyle w:val="14"/>
              <w:widowControl w:val="0"/>
              <w:jc w:val="both"/>
            </w:pPr>
            <w:r>
              <w:rPr>
                <w:rFonts w:hint="eastAsia" w:ascii="宋体" w:hAnsi="宋体"/>
                <w:color w:val="000000" w:themeColor="text1"/>
                <w14:textFill>
                  <w14:solidFill>
                    <w14:schemeClr w14:val="tx1"/>
                  </w14:solidFill>
                </w14:textFill>
              </w:rPr>
              <w:t>综合英语(3) 2020342(3)</w:t>
            </w:r>
          </w:p>
        </w:tc>
      </w:tr>
      <w:tr w14:paraId="661C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27356A3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19EDA47">
            <w:pPr>
              <w:pStyle w:val="14"/>
              <w:widowControl w:val="0"/>
              <w:numPr>
                <w:ilvl w:val="0"/>
                <w:numId w:val="1"/>
              </w:numPr>
              <w:jc w:val="both"/>
            </w:pPr>
            <w:r>
              <w:rPr>
                <w:rFonts w:hint="eastAsia"/>
              </w:rPr>
              <w:t>目的</w:t>
            </w:r>
          </w:p>
          <w:p w14:paraId="1359007A">
            <w:pPr>
              <w:pStyle w:val="14"/>
              <w:widowControl w:val="0"/>
              <w:jc w:val="both"/>
            </w:pPr>
            <w:r>
              <w:rPr>
                <w:rFonts w:hint="eastAsia"/>
              </w:rPr>
              <w:t>《综合英语</w:t>
            </w:r>
            <w:r>
              <w:rPr>
                <w:rFonts w:hint="eastAsia" w:ascii="宋体" w:hAnsi="宋体"/>
                <w:color w:val="000000" w:themeColor="text1"/>
                <w14:textFill>
                  <w14:solidFill>
                    <w14:schemeClr w14:val="tx1"/>
                  </w14:solidFill>
                </w14:textFill>
              </w:rPr>
              <w:t>(4)</w:t>
            </w:r>
            <w:r>
              <w:rPr>
                <w:rFonts w:hint="eastAsia"/>
              </w:rPr>
              <w:t>》是英语专业学生基础学习阶段的专业核心课程，是高年级阶段专业课知识学习的基础。课程旨在通过理论教学与实践训练，全面提高学生听、说、读、写、译五项基本语言技能的，培养学生多层面多角度思考问题的能力。</w:t>
            </w:r>
          </w:p>
          <w:p w14:paraId="4D1BEC2C">
            <w:pPr>
              <w:pStyle w:val="14"/>
              <w:widowControl w:val="0"/>
              <w:numPr>
                <w:ilvl w:val="0"/>
                <w:numId w:val="1"/>
              </w:numPr>
              <w:jc w:val="both"/>
            </w:pPr>
            <w:r>
              <w:rPr>
                <w:rFonts w:hint="eastAsia"/>
              </w:rPr>
              <w:t>内容</w:t>
            </w:r>
          </w:p>
          <w:p w14:paraId="0249ABBC">
            <w:pPr>
              <w:pStyle w:val="14"/>
              <w:widowControl w:val="0"/>
              <w:jc w:val="both"/>
            </w:pPr>
            <w:r>
              <w:rPr>
                <w:rFonts w:hint="eastAsia"/>
              </w:rPr>
              <w:t>本课程的研究对象为基础英语语言知识和综合语言应运技能。课堂教学采用教授与讨论相结合的方法。课堂活动形式包括：问答、讨论、演讲和表演等。本课程内容题材广泛，体裁多样。每单元讨论某一话题，所选的文章从不同角度阐释该话题，逐渐培养学生的语言技能，夯实英语基础。在教学阶段，教师可以将思政元素与西方文化、东方文化充分结合，并引入爱国主义教育，使思政教育理念在课程教学中具体化。</w:t>
            </w:r>
          </w:p>
          <w:p w14:paraId="5A422A2F">
            <w:pPr>
              <w:pStyle w:val="14"/>
              <w:widowControl w:val="0"/>
              <w:jc w:val="both"/>
            </w:pPr>
            <w:r>
              <w:rPr>
                <w:rFonts w:hint="eastAsia"/>
              </w:rPr>
              <w:t>三、预期成果</w:t>
            </w:r>
          </w:p>
          <w:p w14:paraId="00959286">
            <w:pPr>
              <w:pStyle w:val="14"/>
              <w:widowControl w:val="0"/>
              <w:jc w:val="both"/>
            </w:pPr>
            <w:r>
              <w:rPr>
                <w:rFonts w:hint="eastAsia"/>
              </w:rPr>
              <w:t>通过本课程的学习，学生具有扎实的英语基础知识，为毕业后在各自的岗位进行对外交流打下基础，同时为通过其他资格考试服务。</w:t>
            </w:r>
          </w:p>
        </w:tc>
      </w:tr>
      <w:tr w14:paraId="67FC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bottom w:val="double" w:color="auto" w:sz="4" w:space="0"/>
            </w:tcBorders>
            <w:shd w:val="clear" w:color="auto" w:fill="auto"/>
            <w:vAlign w:val="center"/>
          </w:tcPr>
          <w:p w14:paraId="27CA3D4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07CE71B">
            <w:pPr>
              <w:pStyle w:val="14"/>
              <w:widowControl w:val="0"/>
              <w:jc w:val="both"/>
            </w:pPr>
            <w:r>
              <w:rPr>
                <w:rFonts w:hint="eastAsia"/>
              </w:rPr>
              <w:t>本课程适合英语专业二年级第2学期的学生开设；要求学生有4500~5500左右的英语词汇量、初步的语言运用技能。</w:t>
            </w:r>
          </w:p>
        </w:tc>
      </w:tr>
      <w:tr w14:paraId="6B47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0" w:hRule="atLeast"/>
        </w:trPr>
        <w:tc>
          <w:tcPr>
            <w:tcW w:w="1691" w:type="dxa"/>
            <w:tcBorders>
              <w:top w:val="double" w:color="auto" w:sz="4" w:space="0"/>
              <w:left w:val="single" w:color="auto" w:sz="12" w:space="0"/>
            </w:tcBorders>
            <w:shd w:val="clear" w:color="auto" w:fill="auto"/>
            <w:vAlign w:val="center"/>
          </w:tcPr>
          <w:p w14:paraId="693376C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7DEC455">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565150</wp:posOffset>
                  </wp:positionH>
                  <wp:positionV relativeFrom="paragraph">
                    <wp:posOffset>27940</wp:posOffset>
                  </wp:positionV>
                  <wp:extent cx="1459865" cy="262255"/>
                  <wp:effectExtent l="0" t="0" r="6985" b="4445"/>
                  <wp:wrapNone/>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5"/>
                          <a:stretch>
                            <a:fillRect/>
                          </a:stretch>
                        </pic:blipFill>
                        <pic:spPr>
                          <a:xfrm>
                            <a:off x="0" y="0"/>
                            <a:ext cx="1459865" cy="262255"/>
                          </a:xfrm>
                          <a:prstGeom prst="rect">
                            <a:avLst/>
                          </a:prstGeom>
                        </pic:spPr>
                      </pic:pic>
                    </a:graphicData>
                  </a:graphic>
                </wp:anchor>
              </w:drawing>
            </w:r>
          </w:p>
        </w:tc>
        <w:tc>
          <w:tcPr>
            <w:tcW w:w="1425" w:type="dxa"/>
            <w:gridSpan w:val="2"/>
            <w:tcBorders>
              <w:top w:val="double" w:color="auto" w:sz="4" w:space="0"/>
            </w:tcBorders>
            <w:vAlign w:val="center"/>
          </w:tcPr>
          <w:p w14:paraId="2725D2E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E97D601">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ascii="Times New Roman" w:hAnsi="Times New Roman"/>
                <w:color w:val="000000"/>
                <w:sz w:val="21"/>
                <w:szCs w:val="21"/>
              </w:rPr>
              <w:t>5</w:t>
            </w:r>
            <w:r>
              <w:rPr>
                <w:rFonts w:hint="eastAsia" w:ascii="Times New Roman" w:hAnsi="Times New Roman"/>
                <w:color w:val="000000"/>
                <w:sz w:val="21"/>
                <w:szCs w:val="21"/>
              </w:rPr>
              <w:t>年</w:t>
            </w:r>
            <w:r>
              <w:rPr>
                <w:rFonts w:ascii="Times New Roman" w:hAnsi="Times New Roman"/>
                <w:color w:val="000000"/>
                <w:sz w:val="21"/>
                <w:szCs w:val="21"/>
              </w:rPr>
              <w:t>2</w:t>
            </w:r>
            <w:r>
              <w:rPr>
                <w:rFonts w:hint="eastAsia" w:ascii="Times New Roman" w:hAnsi="Times New Roman"/>
                <w:color w:val="000000"/>
                <w:sz w:val="21"/>
                <w:szCs w:val="21"/>
              </w:rPr>
              <w:t>月</w:t>
            </w:r>
          </w:p>
        </w:tc>
      </w:tr>
      <w:tr w14:paraId="10D6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6" w:hRule="atLeast"/>
        </w:trPr>
        <w:tc>
          <w:tcPr>
            <w:tcW w:w="1691" w:type="dxa"/>
            <w:tcBorders>
              <w:left w:val="single" w:color="auto" w:sz="12" w:space="0"/>
            </w:tcBorders>
            <w:shd w:val="clear" w:color="auto" w:fill="auto"/>
            <w:vAlign w:val="center"/>
          </w:tcPr>
          <w:p w14:paraId="350CABC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7DE1C38">
            <w:pPr>
              <w:widowControl w:val="0"/>
              <w:jc w:val="both"/>
              <w:rPr>
                <w:rFonts w:ascii="黑体" w:hAnsi="黑体" w:eastAsia="黑体"/>
                <w:color w:val="000000" w:themeColor="text1"/>
                <w:sz w:val="21"/>
                <w:szCs w:val="21"/>
                <w14:textFill>
                  <w14:solidFill>
                    <w14:schemeClr w14:val="tx1"/>
                  </w14:solidFill>
                </w14:textFill>
              </w:rPr>
            </w:pPr>
            <w:r>
              <w:rPr>
                <w:rFonts w:hint="eastAsia"/>
                <w:sz w:val="21"/>
                <w:szCs w:val="21"/>
              </w:rPr>
              <w:t xml:space="preserve">      </w:t>
            </w:r>
            <w:r>
              <w:rPr>
                <w:rFonts w:hint="eastAsia"/>
                <w:sz w:val="21"/>
                <w:szCs w:val="21"/>
              </w:rPr>
              <w:drawing>
                <wp:inline distT="0" distB="0" distL="114300" distR="114300">
                  <wp:extent cx="1064260" cy="222250"/>
                  <wp:effectExtent l="0" t="0" r="2540" b="635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1064260" cy="222250"/>
                          </a:xfrm>
                          <a:prstGeom prst="rect">
                            <a:avLst/>
                          </a:prstGeom>
                        </pic:spPr>
                      </pic:pic>
                    </a:graphicData>
                  </a:graphic>
                </wp:inline>
              </w:drawing>
            </w:r>
            <w:r>
              <w:rPr>
                <w:rFonts w:hint="eastAsia"/>
                <w:sz w:val="21"/>
                <w:szCs w:val="21"/>
              </w:rPr>
              <w:t xml:space="preserve">       </w:t>
            </w:r>
          </w:p>
        </w:tc>
        <w:tc>
          <w:tcPr>
            <w:tcW w:w="1425" w:type="dxa"/>
            <w:gridSpan w:val="2"/>
            <w:vAlign w:val="center"/>
          </w:tcPr>
          <w:p w14:paraId="54E695B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0C5C0E4">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ascii="Times New Roman" w:hAnsi="Times New Roman"/>
                <w:color w:val="000000"/>
                <w:sz w:val="21"/>
                <w:szCs w:val="21"/>
              </w:rPr>
              <w:t>5</w:t>
            </w:r>
            <w:r>
              <w:rPr>
                <w:rFonts w:hint="eastAsia" w:ascii="Times New Roman" w:hAnsi="Times New Roman"/>
                <w:color w:val="000000"/>
                <w:sz w:val="21"/>
                <w:szCs w:val="21"/>
              </w:rPr>
              <w:t>年</w:t>
            </w:r>
            <w:r>
              <w:rPr>
                <w:rFonts w:ascii="Times New Roman" w:hAnsi="Times New Roman"/>
                <w:color w:val="000000"/>
                <w:sz w:val="21"/>
                <w:szCs w:val="21"/>
              </w:rPr>
              <w:t>2</w:t>
            </w:r>
            <w:r>
              <w:rPr>
                <w:rFonts w:hint="eastAsia" w:ascii="Times New Roman" w:hAnsi="Times New Roman"/>
                <w:color w:val="000000"/>
                <w:sz w:val="21"/>
                <w:szCs w:val="21"/>
              </w:rPr>
              <w:t>月</w:t>
            </w:r>
          </w:p>
        </w:tc>
      </w:tr>
      <w:tr w14:paraId="3144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7" w:hRule="atLeast"/>
        </w:trPr>
        <w:tc>
          <w:tcPr>
            <w:tcW w:w="1691" w:type="dxa"/>
            <w:tcBorders>
              <w:left w:val="single" w:color="auto" w:sz="12" w:space="0"/>
              <w:bottom w:val="single" w:color="auto" w:sz="12" w:space="0"/>
            </w:tcBorders>
            <w:shd w:val="clear" w:color="auto" w:fill="auto"/>
            <w:vAlign w:val="center"/>
          </w:tcPr>
          <w:p w14:paraId="597B6AF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6DAA3D4">
            <w:pPr>
              <w:widowControl w:val="0"/>
              <w:jc w:val="right"/>
              <w:rPr>
                <w:rFonts w:ascii="黑体" w:hAnsi="黑体" w:eastAsia="黑体"/>
                <w:color w:val="000000" w:themeColor="text1"/>
                <w:sz w:val="21"/>
                <w:szCs w:val="21"/>
                <w14:textFill>
                  <w14:solidFill>
                    <w14:schemeClr w14:val="tx1"/>
                  </w14:solidFill>
                </w14:textFill>
              </w:rPr>
            </w:pPr>
            <w:r>
              <w:drawing>
                <wp:anchor distT="0" distB="0" distL="0" distR="0" simplePos="0" relativeHeight="251659264" behindDoc="0" locked="0" layoutInCell="1" allowOverlap="1">
                  <wp:simplePos x="0" y="0"/>
                  <wp:positionH relativeFrom="column">
                    <wp:posOffset>582295</wp:posOffset>
                  </wp:positionH>
                  <wp:positionV relativeFrom="paragraph">
                    <wp:posOffset>0</wp:posOffset>
                  </wp:positionV>
                  <wp:extent cx="838200" cy="220345"/>
                  <wp:effectExtent l="0" t="0" r="0" b="8255"/>
                  <wp:wrapNone/>
                  <wp:docPr id="20426953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95308" name="图片 1"/>
                          <pic:cNvPicPr>
                            <a:picLocks noChangeAspect="1"/>
                          </pic:cNvPicPr>
                        </pic:nvPicPr>
                        <pic:blipFill>
                          <a:blip r:embed="rId7"/>
                          <a:stretch>
                            <a:fillRect/>
                          </a:stretch>
                        </pic:blipFill>
                        <pic:spPr>
                          <a:xfrm>
                            <a:off x="0" y="0"/>
                            <a:ext cx="838271" cy="220345"/>
                          </a:xfrm>
                          <a:prstGeom prst="rect">
                            <a:avLst/>
                          </a:prstGeom>
                        </pic:spPr>
                      </pic:pic>
                    </a:graphicData>
                  </a:graphic>
                </wp:anchor>
              </w:drawing>
            </w:r>
          </w:p>
        </w:tc>
        <w:tc>
          <w:tcPr>
            <w:tcW w:w="1425" w:type="dxa"/>
            <w:gridSpan w:val="2"/>
            <w:tcBorders>
              <w:bottom w:val="single" w:color="auto" w:sz="12" w:space="0"/>
            </w:tcBorders>
            <w:vAlign w:val="center"/>
          </w:tcPr>
          <w:p w14:paraId="227D15D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8ED166B">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ascii="Times New Roman" w:hAnsi="Times New Roman"/>
                <w:color w:val="000000"/>
                <w:sz w:val="21"/>
                <w:szCs w:val="21"/>
              </w:rPr>
              <w:t>5</w:t>
            </w:r>
            <w:r>
              <w:rPr>
                <w:rFonts w:hint="eastAsia" w:ascii="Times New Roman" w:hAnsi="Times New Roman"/>
                <w:color w:val="000000"/>
                <w:sz w:val="21"/>
                <w:szCs w:val="21"/>
              </w:rPr>
              <w:t>年</w:t>
            </w:r>
            <w:r>
              <w:rPr>
                <w:rFonts w:ascii="Times New Roman" w:hAnsi="Times New Roman"/>
                <w:color w:val="000000"/>
                <w:sz w:val="21"/>
                <w:szCs w:val="21"/>
              </w:rPr>
              <w:t>2</w:t>
            </w:r>
            <w:r>
              <w:rPr>
                <w:rFonts w:hint="eastAsia" w:ascii="Times New Roman" w:hAnsi="Times New Roman"/>
                <w:color w:val="000000"/>
                <w:sz w:val="21"/>
                <w:szCs w:val="21"/>
              </w:rPr>
              <w:t>月</w:t>
            </w:r>
          </w:p>
        </w:tc>
      </w:tr>
    </w:tbl>
    <w:p w14:paraId="0371B351">
      <w:pPr>
        <w:spacing w:line="100" w:lineRule="exact"/>
        <w:rPr>
          <w:rFonts w:ascii="Arial" w:hAnsi="Arial" w:eastAsia="黑体"/>
        </w:rPr>
      </w:pPr>
      <w:r>
        <w:br w:type="page"/>
      </w:r>
    </w:p>
    <w:p w14:paraId="7A514367">
      <w:pPr>
        <w:pStyle w:val="16"/>
        <w:spacing w:before="326" w:beforeLines="100" w:line="360" w:lineRule="auto"/>
        <w:rPr>
          <w:rFonts w:ascii="黑体" w:hAnsi="宋体"/>
        </w:rPr>
      </w:pPr>
      <w:r>
        <w:rPr>
          <w:rFonts w:hint="eastAsia" w:ascii="黑体" w:hAnsi="宋体"/>
        </w:rPr>
        <w:t>二、课程目标与毕业要求</w:t>
      </w:r>
    </w:p>
    <w:p w14:paraId="49460AA8">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516CA2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4403DEFF">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60E707A5">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4A72300E">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50E9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6024857A">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0348AF3D">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54EECF3E">
            <w:pPr>
              <w:pStyle w:val="14"/>
              <w:jc w:val="left"/>
              <w:rPr>
                <w:rFonts w:ascii="宋体" w:hAnsi="宋体"/>
                <w:bCs/>
              </w:rPr>
            </w:pPr>
            <w:r>
              <w:rPr>
                <w:rFonts w:hint="eastAsia" w:ascii="宋体" w:hAnsi="宋体"/>
                <w:bCs/>
              </w:rPr>
              <w:t>学生通过语言基础训练与篇章学习，系统掌握基础语言知识（含语法、词汇、篇章、修辞）等。</w:t>
            </w:r>
          </w:p>
        </w:tc>
      </w:tr>
      <w:tr w14:paraId="3DA16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702653BE">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0F5B0D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9" w:type="dxa"/>
            <w:vAlign w:val="center"/>
          </w:tcPr>
          <w:p w14:paraId="4B02702C">
            <w:pPr>
              <w:pStyle w:val="14"/>
              <w:jc w:val="left"/>
              <w:rPr>
                <w:rFonts w:ascii="宋体" w:hAnsi="宋体"/>
                <w:bCs/>
              </w:rPr>
            </w:pPr>
            <w:r>
              <w:rPr>
                <w:rFonts w:hint="eastAsia" w:ascii="宋体" w:hAnsi="宋体"/>
                <w:bCs/>
              </w:rPr>
              <w:t>学生能基本能运用英语进行交际，具备基本的口头与书面表达能力。</w:t>
            </w:r>
          </w:p>
        </w:tc>
      </w:tr>
      <w:tr w14:paraId="1A343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EBF605D">
            <w:pPr>
              <w:pStyle w:val="14"/>
              <w:rPr>
                <w:rFonts w:ascii="宋体" w:hAnsi="宋体"/>
              </w:rPr>
            </w:pPr>
          </w:p>
        </w:tc>
        <w:tc>
          <w:tcPr>
            <w:tcW w:w="782" w:type="dxa"/>
            <w:shd w:val="clear" w:color="auto" w:fill="auto"/>
            <w:vAlign w:val="center"/>
          </w:tcPr>
          <w:p w14:paraId="48A9900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9" w:type="dxa"/>
            <w:vAlign w:val="center"/>
          </w:tcPr>
          <w:p w14:paraId="1508D780">
            <w:pPr>
              <w:pStyle w:val="14"/>
              <w:jc w:val="left"/>
              <w:rPr>
                <w:rFonts w:ascii="宋体" w:hAnsi="宋体"/>
                <w:bCs/>
              </w:rPr>
            </w:pPr>
            <w:r>
              <w:rPr>
                <w:rFonts w:hint="eastAsia" w:ascii="宋体" w:hAnsi="宋体"/>
                <w:bCs/>
              </w:rPr>
              <w:t>学生能根据教师的课堂教学，确定自主学习目标，制定课外学习计划，完成语言知识和技能相关练习。</w:t>
            </w:r>
          </w:p>
        </w:tc>
      </w:tr>
      <w:tr w14:paraId="5D9CB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A017675">
            <w:pPr>
              <w:pStyle w:val="14"/>
              <w:rPr>
                <w:rFonts w:ascii="宋体" w:hAnsi="宋体"/>
              </w:rPr>
            </w:pPr>
          </w:p>
        </w:tc>
        <w:tc>
          <w:tcPr>
            <w:tcW w:w="782" w:type="dxa"/>
            <w:shd w:val="clear" w:color="auto" w:fill="auto"/>
            <w:vAlign w:val="center"/>
          </w:tcPr>
          <w:p w14:paraId="349287F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11B241A4">
            <w:pPr>
              <w:pStyle w:val="14"/>
              <w:jc w:val="left"/>
              <w:rPr>
                <w:rFonts w:ascii="宋体" w:hAnsi="宋体"/>
                <w:bCs/>
              </w:rPr>
            </w:pPr>
            <w:r>
              <w:rPr>
                <w:rFonts w:hint="eastAsia" w:ascii="宋体" w:hAnsi="宋体"/>
                <w:bCs/>
              </w:rPr>
              <w:t>学生能跃出教科书框架，多角度思考，在学习语言知识的同时，训练思维方法，用思维方法指导语言学习。</w:t>
            </w:r>
          </w:p>
        </w:tc>
      </w:tr>
      <w:tr w14:paraId="70912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364C58C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A0A3EA1">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BEDB49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30943B15">
            <w:pPr>
              <w:pStyle w:val="14"/>
              <w:jc w:val="left"/>
              <w:rPr>
                <w:rFonts w:ascii="宋体" w:hAnsi="宋体"/>
                <w:bCs/>
              </w:rPr>
            </w:pPr>
            <w:r>
              <w:rPr>
                <w:rFonts w:hint="eastAsia" w:ascii="宋体" w:hAnsi="宋体"/>
                <w:bCs/>
              </w:rPr>
              <w:t>学生能运用英语语言知识和技能，通过口头或书面形式表达自己的爱国情怀，传播优秀的中国文化。</w:t>
            </w:r>
          </w:p>
        </w:tc>
      </w:tr>
    </w:tbl>
    <w:p w14:paraId="598F3BC9">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0E322DA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2E1C6D5">
            <w:pPr>
              <w:pStyle w:val="14"/>
              <w:widowControl w:val="0"/>
              <w:jc w:val="left"/>
              <w:rPr>
                <w:rFonts w:ascii="宋体" w:hAnsi="宋体"/>
                <w:bCs/>
              </w:rPr>
            </w:pPr>
            <w:r>
              <w:rPr>
                <w:rFonts w:cs="Times New Roman"/>
                <w:bCs/>
              </w:rPr>
              <w:t>LO1</w:t>
            </w:r>
            <w:r>
              <w:rPr>
                <w:rFonts w:hint="eastAsia"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5FE1DF5">
            <w:pPr>
              <w:pStyle w:val="14"/>
              <w:widowControl w:val="0"/>
              <w:jc w:val="left"/>
              <w:rPr>
                <w:rFonts w:ascii="宋体" w:hAnsi="宋体"/>
                <w:bCs/>
              </w:rPr>
            </w:pPr>
            <w:r>
              <w:rPr>
                <w:rFonts w:ascii="Cambria Math" w:hAnsi="Cambria Math" w:cs="Cambria Math"/>
                <w:szCs w:val="24"/>
              </w:rPr>
              <w:t>①</w:t>
            </w:r>
            <w:r>
              <w:rPr>
                <w:rFonts w:hint="eastAsia" w:ascii="宋体" w:hAnsi="宋体"/>
                <w:bCs/>
              </w:rPr>
              <w:t>爱党爱国，坚决拥护党的领导，热爱祖国的大好河山、悠久历史、灿烂文化，自觉维护民族利益和国家尊严。</w:t>
            </w:r>
          </w:p>
        </w:tc>
      </w:tr>
      <w:tr w14:paraId="3D84A8A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53" w:hRule="atLeast"/>
        </w:trPr>
        <w:tc>
          <w:tcPr>
            <w:tcW w:w="8296" w:type="dxa"/>
          </w:tcPr>
          <w:p w14:paraId="12B04855">
            <w:pPr>
              <w:pStyle w:val="14"/>
              <w:widowControl w:val="0"/>
              <w:jc w:val="left"/>
              <w:rPr>
                <w:rFonts w:ascii="宋体" w:hAnsi="宋体"/>
                <w:bCs/>
              </w:rPr>
            </w:pPr>
            <w:r>
              <w:rPr>
                <w:rFonts w:cs="Times New Roman"/>
              </w:rPr>
              <w:t>LO</w:t>
            </w:r>
            <w:r>
              <w:rPr>
                <w:rFonts w:hint="eastAsia" w:cs="Times New Roman"/>
              </w:rPr>
              <w:t>2</w:t>
            </w:r>
            <w:r>
              <w:rPr>
                <w:rFonts w:hint="eastAsia" w:ascii="宋体" w:hAnsi="宋体"/>
                <w:bCs/>
              </w:rPr>
              <w:t>专业能力：具有人文科学素养，具备从事某项工作或专业的理论知识、实践能力。</w:t>
            </w:r>
          </w:p>
          <w:p w14:paraId="429340A0">
            <w:pPr>
              <w:pStyle w:val="14"/>
              <w:widowControl w:val="0"/>
              <w:jc w:val="left"/>
              <w:rPr>
                <w:rFonts w:ascii="宋体" w:hAnsi="宋体"/>
                <w:bCs/>
              </w:rPr>
            </w:pPr>
            <w:r>
              <w:rPr>
                <w:rFonts w:ascii="Calibri" w:hAnsi="Calibri" w:cs="Calibri"/>
                <w:bCs/>
              </w:rPr>
              <w:t>②</w:t>
            </w:r>
            <w:r>
              <w:rPr>
                <w:rFonts w:hint="eastAsia" w:ascii="宋体" w:hAnsi="宋体"/>
                <w:bCs/>
              </w:rPr>
              <w:t>掌握英英语语言基本理论与知识，具备扎实的语言基本功和听、说、读、写、译等语言应用能力。</w:t>
            </w:r>
          </w:p>
        </w:tc>
      </w:tr>
      <w:tr w14:paraId="14BD573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49" w:hRule="atLeast"/>
        </w:trPr>
        <w:tc>
          <w:tcPr>
            <w:tcW w:w="8296" w:type="dxa"/>
          </w:tcPr>
          <w:p w14:paraId="24187A2E">
            <w:pPr>
              <w:widowControl/>
              <w:jc w:val="both"/>
              <w:rPr>
                <w:color w:val="000000"/>
                <w:sz w:val="20"/>
                <w:szCs w:val="20"/>
              </w:rPr>
            </w:pPr>
            <w:r>
              <w:rPr>
                <w:rFonts w:ascii="Times New Roman" w:hAnsi="Times New Roman" w:cs="Times New Roman"/>
                <w:bCs/>
                <w:sz w:val="21"/>
                <w:szCs w:val="21"/>
              </w:rPr>
              <w:t>LO</w:t>
            </w:r>
            <w:r>
              <w:rPr>
                <w:rFonts w:hint="eastAsia" w:ascii="Times New Roman" w:hAnsi="Times New Roman" w:cs="Times New Roman"/>
                <w:bCs/>
                <w:sz w:val="21"/>
                <w:szCs w:val="21"/>
              </w:rPr>
              <w:t>4</w:t>
            </w:r>
            <w:r>
              <w:rPr>
                <w:rFonts w:hint="eastAsia"/>
                <w:color w:val="000000"/>
                <w:sz w:val="20"/>
                <w:szCs w:val="20"/>
              </w:rPr>
              <w:t>自主学习：能根据环境需要确定自己的学习目标，并主动地通过搜集信息、分析信息、讨论、实践、质疑、创造等方法来实现学习目标。</w:t>
            </w:r>
          </w:p>
          <w:p w14:paraId="44C8741A">
            <w:pPr>
              <w:pStyle w:val="14"/>
              <w:widowControl w:val="0"/>
              <w:jc w:val="left"/>
              <w:rPr>
                <w:rFonts w:ascii="宋体" w:hAnsi="宋体"/>
                <w:bCs/>
              </w:rPr>
            </w:pPr>
            <w:r>
              <w:rPr>
                <w:rFonts w:ascii="Cambria Math" w:hAnsi="Cambria Math" w:cs="Cambria Math"/>
                <w:szCs w:val="24"/>
              </w:rPr>
              <w:t>①</w:t>
            </w:r>
            <w:r>
              <w:rPr>
                <w:rFonts w:hint="eastAsia" w:ascii="宋体" w:hAnsi="宋体"/>
                <w:sz w:val="20"/>
                <w:szCs w:val="20"/>
              </w:rPr>
              <w:t xml:space="preserve">能根据需要确定学习目标，并设计学习计划。 </w:t>
            </w:r>
          </w:p>
        </w:tc>
      </w:tr>
      <w:tr w14:paraId="737CE29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49" w:hRule="atLeast"/>
        </w:trPr>
        <w:tc>
          <w:tcPr>
            <w:tcW w:w="8296" w:type="dxa"/>
          </w:tcPr>
          <w:p w14:paraId="5C293816">
            <w:pPr>
              <w:pStyle w:val="14"/>
              <w:widowControl w:val="0"/>
              <w:jc w:val="left"/>
              <w:rPr>
                <w:rFonts w:ascii="宋体" w:hAnsi="宋体"/>
                <w:sz w:val="20"/>
                <w:szCs w:val="20"/>
              </w:rPr>
            </w:pPr>
            <w:r>
              <w:rPr>
                <w:rFonts w:cs="Times New Roman"/>
                <w:bCs/>
              </w:rPr>
              <w:t>LO</w:t>
            </w:r>
            <w:r>
              <w:rPr>
                <w:rFonts w:hint="eastAsia" w:cs="Times New Roman"/>
                <w:bCs/>
              </w:rPr>
              <w:t>6</w:t>
            </w:r>
            <w:r>
              <w:rPr>
                <w:rFonts w:hint="eastAsia" w:ascii="宋体" w:hAnsi="宋体"/>
                <w:sz w:val="20"/>
                <w:szCs w:val="20"/>
              </w:rPr>
              <w:t>协同创新：同群体保持良好的合作关系，做集体中的积极成员，善于自我管理和团队管理；善于从多个维度思考问题，利用自己的知识与实践来提出新设想。</w:t>
            </w:r>
          </w:p>
          <w:p w14:paraId="12D4740B">
            <w:pPr>
              <w:pStyle w:val="14"/>
              <w:widowControl w:val="0"/>
              <w:jc w:val="left"/>
              <w:rPr>
                <w:rFonts w:ascii="宋体" w:hAnsi="宋体"/>
                <w:sz w:val="20"/>
                <w:szCs w:val="20"/>
              </w:rPr>
            </w:pPr>
            <w:r>
              <w:rPr>
                <w:rFonts w:ascii="Cambria Math" w:hAnsi="Cambria Math" w:cs="Cambria Math"/>
                <w:bCs/>
              </w:rPr>
              <w:t>③</w:t>
            </w:r>
            <w:r>
              <w:rPr>
                <w:rFonts w:hint="eastAsia" w:ascii="宋体" w:hAnsi="宋体"/>
                <w:sz w:val="20"/>
                <w:szCs w:val="20"/>
              </w:rPr>
              <w:t>能用创新的方法或者多种方法解决复杂问题或真实问题</w:t>
            </w:r>
          </w:p>
        </w:tc>
      </w:tr>
    </w:tbl>
    <w:p w14:paraId="6F4F089A">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048D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1A4454A">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3DE363FA">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5A897971">
            <w:pPr>
              <w:pStyle w:val="13"/>
              <w:rPr>
                <w:szCs w:val="16"/>
              </w:rPr>
            </w:pPr>
            <w:r>
              <w:rPr>
                <w:rFonts w:hint="eastAsia"/>
                <w:szCs w:val="16"/>
              </w:rPr>
              <w:t>支撑度</w:t>
            </w:r>
          </w:p>
        </w:tc>
        <w:tc>
          <w:tcPr>
            <w:tcW w:w="4763" w:type="dxa"/>
            <w:tcBorders>
              <w:top w:val="single" w:color="auto" w:sz="12" w:space="0"/>
            </w:tcBorders>
            <w:vAlign w:val="center"/>
          </w:tcPr>
          <w:p w14:paraId="025F0C2A">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3F47ECB5">
            <w:pPr>
              <w:pStyle w:val="13"/>
              <w:rPr>
                <w:szCs w:val="16"/>
              </w:rPr>
            </w:pPr>
            <w:r>
              <w:rPr>
                <w:rFonts w:hint="eastAsia"/>
                <w:szCs w:val="16"/>
              </w:rPr>
              <w:t>对指标点的贡献度</w:t>
            </w:r>
          </w:p>
        </w:tc>
      </w:tr>
      <w:tr w14:paraId="2863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62" w:hRule="atLeast"/>
          <w:jc w:val="center"/>
        </w:trPr>
        <w:tc>
          <w:tcPr>
            <w:tcW w:w="777" w:type="dxa"/>
            <w:vMerge w:val="restart"/>
            <w:tcBorders>
              <w:left w:val="single" w:color="auto" w:sz="12" w:space="0"/>
              <w:right w:val="single" w:color="auto" w:sz="4" w:space="0"/>
            </w:tcBorders>
            <w:shd w:val="clear" w:color="auto" w:fill="auto"/>
            <w:vAlign w:val="center"/>
          </w:tcPr>
          <w:p w14:paraId="6F2BDE98">
            <w:pPr>
              <w:pStyle w:val="14"/>
            </w:pPr>
            <w:r>
              <w:rPr>
                <w:rFonts w:cs="Times New Roman"/>
                <w:b/>
                <w:bCs/>
              </w:rPr>
              <w:t>LO1</w:t>
            </w:r>
          </w:p>
        </w:tc>
        <w:tc>
          <w:tcPr>
            <w:tcW w:w="794" w:type="dxa"/>
            <w:vMerge w:val="restart"/>
            <w:tcBorders>
              <w:left w:val="single" w:color="auto" w:sz="4" w:space="0"/>
            </w:tcBorders>
            <w:vAlign w:val="center"/>
          </w:tcPr>
          <w:p w14:paraId="3FAABC46">
            <w:pPr>
              <w:pStyle w:val="14"/>
              <w:rPr>
                <w:rFonts w:cs="Times New Roman"/>
                <w:bCs/>
              </w:rPr>
            </w:pPr>
            <w:r>
              <w:rPr>
                <w:rFonts w:ascii="Cambria Math" w:hAnsi="Cambria Math" w:cs="Cambria Math"/>
                <w:szCs w:val="24"/>
              </w:rPr>
              <w:t>①</w:t>
            </w:r>
          </w:p>
        </w:tc>
        <w:tc>
          <w:tcPr>
            <w:tcW w:w="794" w:type="dxa"/>
            <w:vMerge w:val="restart"/>
            <w:tcBorders>
              <w:right w:val="double" w:color="auto" w:sz="4" w:space="0"/>
            </w:tcBorders>
            <w:shd w:val="clear" w:color="auto" w:fill="auto"/>
            <w:vAlign w:val="center"/>
          </w:tcPr>
          <w:p w14:paraId="605D821A">
            <w:pPr>
              <w:pStyle w:val="14"/>
              <w:rPr>
                <w:rFonts w:ascii="宋体" w:hAnsi="宋体"/>
              </w:rPr>
            </w:pPr>
            <w:r>
              <w:rPr>
                <w:rFonts w:cs="Times New Roman"/>
              </w:rPr>
              <w:t>M</w:t>
            </w:r>
          </w:p>
        </w:tc>
        <w:tc>
          <w:tcPr>
            <w:tcW w:w="4763" w:type="dxa"/>
            <w:vAlign w:val="center"/>
          </w:tcPr>
          <w:p w14:paraId="50C0B2CB">
            <w:pPr>
              <w:pStyle w:val="14"/>
              <w:jc w:val="left"/>
              <w:rPr>
                <w:rFonts w:ascii="宋体" w:hAnsi="宋体"/>
                <w:bCs/>
              </w:rPr>
            </w:pPr>
            <w:r>
              <w:rPr>
                <w:rFonts w:hint="eastAsia" w:cs="Times New Roman"/>
                <w:bCs/>
              </w:rPr>
              <w:t>5</w:t>
            </w:r>
            <w:r>
              <w:rPr>
                <w:rFonts w:cs="Times New Roman"/>
                <w:bCs/>
              </w:rPr>
              <w:t>.</w:t>
            </w:r>
            <w:r>
              <w:rPr>
                <w:rFonts w:hint="eastAsia" w:ascii="宋体" w:hAnsi="宋体"/>
                <w:bCs/>
              </w:rPr>
              <w:t>学生能运用英语语言知识和技能，通过口头或书面形式表达自己的爱国情怀，传播优秀的中国文化。</w:t>
            </w:r>
          </w:p>
        </w:tc>
        <w:tc>
          <w:tcPr>
            <w:tcW w:w="1348" w:type="dxa"/>
            <w:tcBorders>
              <w:right w:val="single" w:color="auto" w:sz="12" w:space="0"/>
            </w:tcBorders>
            <w:vAlign w:val="center"/>
          </w:tcPr>
          <w:p w14:paraId="4E23E95E">
            <w:pPr>
              <w:pStyle w:val="14"/>
              <w:rPr>
                <w:rFonts w:ascii="宋体" w:hAnsi="宋体"/>
                <w:bCs/>
              </w:rPr>
            </w:pPr>
            <w:r>
              <w:rPr>
                <w:rFonts w:hint="eastAsia" w:ascii="宋体" w:hAnsi="宋体"/>
                <w:bCs/>
              </w:rPr>
              <w:t>100%</w:t>
            </w:r>
          </w:p>
        </w:tc>
      </w:tr>
      <w:tr w14:paraId="08BE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1C686263">
            <w:pPr>
              <w:pStyle w:val="14"/>
            </w:pPr>
            <w:r>
              <w:rPr>
                <w:rFonts w:cs="Times New Roman"/>
                <w:b/>
                <w:bCs/>
              </w:rPr>
              <w:t>LO</w:t>
            </w:r>
            <w:r>
              <w:rPr>
                <w:rFonts w:hint="eastAsia" w:cs="Times New Roman"/>
                <w:b/>
                <w:bCs/>
              </w:rPr>
              <w:t>2</w:t>
            </w:r>
          </w:p>
        </w:tc>
        <w:tc>
          <w:tcPr>
            <w:tcW w:w="794" w:type="dxa"/>
            <w:vMerge w:val="restart"/>
            <w:tcBorders>
              <w:left w:val="single" w:color="auto" w:sz="4" w:space="0"/>
            </w:tcBorders>
            <w:vAlign w:val="center"/>
          </w:tcPr>
          <w:p w14:paraId="5302D49D">
            <w:pPr>
              <w:pStyle w:val="14"/>
              <w:rPr>
                <w:rFonts w:cs="Times New Roman"/>
                <w:bCs/>
              </w:rPr>
            </w:pPr>
            <w:r>
              <w:rPr>
                <w:rFonts w:ascii="Calibri" w:hAnsi="Calibri" w:cs="Calibri"/>
                <w:bCs/>
              </w:rPr>
              <w:t>②</w:t>
            </w:r>
          </w:p>
        </w:tc>
        <w:tc>
          <w:tcPr>
            <w:tcW w:w="794" w:type="dxa"/>
            <w:vMerge w:val="restart"/>
            <w:tcBorders>
              <w:right w:val="double" w:color="auto" w:sz="4" w:space="0"/>
            </w:tcBorders>
            <w:shd w:val="clear" w:color="auto" w:fill="auto"/>
            <w:vAlign w:val="center"/>
          </w:tcPr>
          <w:p w14:paraId="0EC0EA2D">
            <w:pPr>
              <w:pStyle w:val="14"/>
              <w:rPr>
                <w:rFonts w:ascii="宋体" w:hAnsi="宋体"/>
              </w:rPr>
            </w:pPr>
            <w:r>
              <w:rPr>
                <w:rFonts w:cs="Times New Roman"/>
              </w:rPr>
              <w:t>H</w:t>
            </w:r>
          </w:p>
        </w:tc>
        <w:tc>
          <w:tcPr>
            <w:tcW w:w="4763" w:type="dxa"/>
            <w:vAlign w:val="center"/>
          </w:tcPr>
          <w:p w14:paraId="14FF14FC">
            <w:pPr>
              <w:pStyle w:val="14"/>
              <w:jc w:val="left"/>
              <w:rPr>
                <w:rFonts w:ascii="宋体" w:hAnsi="宋体"/>
                <w:bCs/>
              </w:rPr>
            </w:pPr>
            <w:r>
              <w:rPr>
                <w:rFonts w:hint="eastAsia" w:cs="Times New Roman"/>
              </w:rPr>
              <w:t>1</w:t>
            </w:r>
            <w:r>
              <w:rPr>
                <w:rFonts w:cs="Times New Roman"/>
              </w:rPr>
              <w:t>.</w:t>
            </w:r>
            <w:r>
              <w:rPr>
                <w:rFonts w:hint="eastAsia" w:ascii="宋体" w:hAnsi="宋体"/>
                <w:bCs/>
              </w:rPr>
              <w:t>学生通过语言基础训练与篇章学习，系统掌握基础语言知识（含语法、词汇、篇章、修辞）等。</w:t>
            </w:r>
          </w:p>
        </w:tc>
        <w:tc>
          <w:tcPr>
            <w:tcW w:w="1348" w:type="dxa"/>
            <w:tcBorders>
              <w:right w:val="single" w:color="auto" w:sz="12" w:space="0"/>
            </w:tcBorders>
            <w:vAlign w:val="center"/>
          </w:tcPr>
          <w:p w14:paraId="2F1CC547">
            <w:pPr>
              <w:pStyle w:val="14"/>
              <w:rPr>
                <w:rFonts w:ascii="宋体" w:hAnsi="宋体"/>
                <w:bCs/>
              </w:rPr>
            </w:pPr>
            <w:r>
              <w:rPr>
                <w:rFonts w:hint="eastAsia" w:ascii="宋体" w:hAnsi="宋体"/>
                <w:bCs/>
              </w:rPr>
              <w:t>50%</w:t>
            </w:r>
          </w:p>
        </w:tc>
      </w:tr>
      <w:tr w14:paraId="56D7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6EBE3597">
            <w:pPr>
              <w:pStyle w:val="14"/>
            </w:pPr>
          </w:p>
        </w:tc>
        <w:tc>
          <w:tcPr>
            <w:tcW w:w="794" w:type="dxa"/>
            <w:vMerge w:val="continue"/>
            <w:tcBorders>
              <w:left w:val="single" w:color="auto" w:sz="4" w:space="0"/>
            </w:tcBorders>
            <w:vAlign w:val="center"/>
          </w:tcPr>
          <w:p w14:paraId="7EA7A784">
            <w:pPr>
              <w:pStyle w:val="14"/>
              <w:rPr>
                <w:rFonts w:cs="Times New Roman"/>
                <w:bCs/>
              </w:rPr>
            </w:pPr>
          </w:p>
        </w:tc>
        <w:tc>
          <w:tcPr>
            <w:tcW w:w="794" w:type="dxa"/>
            <w:vMerge w:val="continue"/>
            <w:tcBorders>
              <w:right w:val="double" w:color="auto" w:sz="4" w:space="0"/>
            </w:tcBorders>
            <w:shd w:val="clear" w:color="auto" w:fill="auto"/>
            <w:vAlign w:val="center"/>
          </w:tcPr>
          <w:p w14:paraId="63C33735">
            <w:pPr>
              <w:pStyle w:val="14"/>
              <w:rPr>
                <w:rFonts w:ascii="宋体" w:hAnsi="宋体"/>
              </w:rPr>
            </w:pPr>
          </w:p>
        </w:tc>
        <w:tc>
          <w:tcPr>
            <w:tcW w:w="4763" w:type="dxa"/>
            <w:vAlign w:val="center"/>
          </w:tcPr>
          <w:p w14:paraId="4F1BF1CF">
            <w:pPr>
              <w:pStyle w:val="14"/>
              <w:jc w:val="left"/>
              <w:rPr>
                <w:rFonts w:ascii="宋体" w:hAnsi="宋体"/>
                <w:bCs/>
              </w:rPr>
            </w:pPr>
            <w:r>
              <w:rPr>
                <w:rFonts w:cs="Times New Roman"/>
                <w:bCs/>
              </w:rPr>
              <w:t>2.</w:t>
            </w:r>
            <w:r>
              <w:rPr>
                <w:rFonts w:hint="eastAsia" w:ascii="宋体" w:hAnsi="宋体"/>
                <w:bCs/>
              </w:rPr>
              <w:t>学生能基本能运用英语进行交际，具备基本的口头与书面表达能力。</w:t>
            </w:r>
          </w:p>
        </w:tc>
        <w:tc>
          <w:tcPr>
            <w:tcW w:w="1348" w:type="dxa"/>
            <w:tcBorders>
              <w:right w:val="single" w:color="auto" w:sz="12" w:space="0"/>
            </w:tcBorders>
            <w:vAlign w:val="center"/>
          </w:tcPr>
          <w:p w14:paraId="1D65D3F0">
            <w:pPr>
              <w:pStyle w:val="14"/>
              <w:rPr>
                <w:rFonts w:ascii="宋体" w:hAnsi="宋体"/>
                <w:bCs/>
              </w:rPr>
            </w:pPr>
            <w:r>
              <w:rPr>
                <w:rFonts w:hint="eastAsia" w:ascii="宋体" w:hAnsi="宋体"/>
                <w:bCs/>
              </w:rPr>
              <w:t>50%</w:t>
            </w:r>
          </w:p>
        </w:tc>
      </w:tr>
      <w:tr w14:paraId="537D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68ED159E">
            <w:pPr>
              <w:pStyle w:val="14"/>
              <w:rPr>
                <w:rFonts w:cs="Times New Roman"/>
                <w:b/>
                <w:bCs/>
              </w:rPr>
            </w:pPr>
          </w:p>
          <w:p w14:paraId="11C6AB43">
            <w:pPr>
              <w:pStyle w:val="14"/>
            </w:pPr>
            <w:r>
              <w:rPr>
                <w:rFonts w:cs="Times New Roman"/>
                <w:b/>
                <w:bCs/>
              </w:rPr>
              <w:t>LO</w:t>
            </w:r>
            <w:r>
              <w:rPr>
                <w:rFonts w:hint="eastAsia" w:cs="Times New Roman"/>
                <w:b/>
                <w:bCs/>
              </w:rPr>
              <w:t>4</w:t>
            </w:r>
          </w:p>
        </w:tc>
        <w:tc>
          <w:tcPr>
            <w:tcW w:w="794" w:type="dxa"/>
            <w:tcBorders>
              <w:left w:val="single" w:color="auto" w:sz="4" w:space="0"/>
            </w:tcBorders>
            <w:vAlign w:val="center"/>
          </w:tcPr>
          <w:p w14:paraId="2900A967">
            <w:pPr>
              <w:pStyle w:val="14"/>
              <w:rPr>
                <w:rFonts w:cs="Times New Roman"/>
                <w:bCs/>
              </w:rPr>
            </w:pPr>
            <w:r>
              <w:rPr>
                <w:rFonts w:cs="Times New Roman"/>
                <w:b/>
                <w:bCs/>
              </w:rPr>
              <w:t>①</w:t>
            </w:r>
          </w:p>
        </w:tc>
        <w:tc>
          <w:tcPr>
            <w:tcW w:w="794" w:type="dxa"/>
            <w:tcBorders>
              <w:right w:val="double" w:color="auto" w:sz="4" w:space="0"/>
            </w:tcBorders>
            <w:shd w:val="clear" w:color="auto" w:fill="auto"/>
            <w:vAlign w:val="center"/>
          </w:tcPr>
          <w:p w14:paraId="06948A3A">
            <w:pPr>
              <w:pStyle w:val="14"/>
              <w:rPr>
                <w:rFonts w:ascii="宋体" w:hAnsi="宋体"/>
              </w:rPr>
            </w:pPr>
            <w:r>
              <w:rPr>
                <w:rFonts w:cs="Times New Roman"/>
              </w:rPr>
              <w:t>M</w:t>
            </w:r>
          </w:p>
        </w:tc>
        <w:tc>
          <w:tcPr>
            <w:tcW w:w="4763" w:type="dxa"/>
            <w:vAlign w:val="center"/>
          </w:tcPr>
          <w:p w14:paraId="17D55FAD">
            <w:pPr>
              <w:pStyle w:val="14"/>
              <w:jc w:val="left"/>
              <w:rPr>
                <w:rFonts w:ascii="宋体" w:hAnsi="宋体"/>
                <w:bCs/>
              </w:rPr>
            </w:pPr>
            <w:r>
              <w:rPr>
                <w:rFonts w:cs="Times New Roman"/>
                <w:bCs/>
              </w:rPr>
              <w:t>3</w:t>
            </w:r>
            <w:r>
              <w:rPr>
                <w:rFonts w:hint="eastAsia" w:cs="Times New Roman"/>
                <w:bCs/>
              </w:rPr>
              <w:t>.</w:t>
            </w:r>
            <w:r>
              <w:rPr>
                <w:rFonts w:hint="eastAsia" w:ascii="宋体" w:hAnsi="宋体"/>
                <w:bCs/>
              </w:rPr>
              <w:t>学生能根据教师的课堂教学，确定自主学习目标，制定课外学习计划，完成语言知识和技能相关练习。</w:t>
            </w:r>
          </w:p>
        </w:tc>
        <w:tc>
          <w:tcPr>
            <w:tcW w:w="1348" w:type="dxa"/>
            <w:tcBorders>
              <w:right w:val="single" w:color="auto" w:sz="12" w:space="0"/>
            </w:tcBorders>
            <w:vAlign w:val="center"/>
          </w:tcPr>
          <w:p w14:paraId="3D844CC5">
            <w:pPr>
              <w:pStyle w:val="14"/>
              <w:rPr>
                <w:rFonts w:ascii="宋体" w:hAnsi="宋体"/>
                <w:bCs/>
              </w:rPr>
            </w:pPr>
            <w:r>
              <w:rPr>
                <w:rFonts w:hint="eastAsia" w:ascii="宋体" w:hAnsi="宋体"/>
                <w:bCs/>
              </w:rPr>
              <w:t>100%</w:t>
            </w:r>
          </w:p>
        </w:tc>
      </w:tr>
      <w:tr w14:paraId="2D77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6C06C0B0">
            <w:pPr>
              <w:pStyle w:val="14"/>
              <w:rPr>
                <w:rFonts w:cs="Times New Roman"/>
                <w:b/>
                <w:bCs/>
              </w:rPr>
            </w:pPr>
          </w:p>
          <w:p w14:paraId="73D083CC">
            <w:pPr>
              <w:pStyle w:val="14"/>
              <w:rPr>
                <w:rFonts w:cs="Times New Roman"/>
                <w:b/>
                <w:bCs/>
              </w:rPr>
            </w:pPr>
            <w:r>
              <w:rPr>
                <w:rFonts w:cs="Times New Roman"/>
                <w:b/>
                <w:bCs/>
              </w:rPr>
              <w:t>LO</w:t>
            </w:r>
            <w:r>
              <w:rPr>
                <w:rFonts w:hint="eastAsia" w:cs="Times New Roman"/>
                <w:b/>
                <w:bCs/>
              </w:rPr>
              <w:t>6</w:t>
            </w:r>
          </w:p>
        </w:tc>
        <w:tc>
          <w:tcPr>
            <w:tcW w:w="794" w:type="dxa"/>
            <w:tcBorders>
              <w:left w:val="single" w:color="auto" w:sz="4" w:space="0"/>
              <w:bottom w:val="single" w:color="auto" w:sz="12" w:space="0"/>
            </w:tcBorders>
            <w:vAlign w:val="center"/>
          </w:tcPr>
          <w:p w14:paraId="29A2C4AF">
            <w:pPr>
              <w:pStyle w:val="14"/>
              <w:rPr>
                <w:rFonts w:cs="Times New Roman"/>
                <w:bCs/>
              </w:rPr>
            </w:pPr>
            <w:r>
              <w:rPr>
                <w:rFonts w:ascii="Cambria Math" w:hAnsi="Cambria Math" w:cs="Cambria Math"/>
                <w:bCs/>
              </w:rPr>
              <w:t>③</w:t>
            </w:r>
          </w:p>
        </w:tc>
        <w:tc>
          <w:tcPr>
            <w:tcW w:w="794" w:type="dxa"/>
            <w:tcBorders>
              <w:bottom w:val="single" w:color="auto" w:sz="12" w:space="0"/>
              <w:right w:val="double" w:color="auto" w:sz="4" w:space="0"/>
            </w:tcBorders>
            <w:shd w:val="clear" w:color="auto" w:fill="auto"/>
            <w:vAlign w:val="center"/>
          </w:tcPr>
          <w:p w14:paraId="52B6EEFC">
            <w:pPr>
              <w:pStyle w:val="14"/>
              <w:rPr>
                <w:rFonts w:ascii="宋体" w:hAnsi="宋体"/>
              </w:rPr>
            </w:pPr>
            <w:r>
              <w:rPr>
                <w:rFonts w:cs="Times New Roman"/>
              </w:rPr>
              <w:t>M</w:t>
            </w:r>
          </w:p>
        </w:tc>
        <w:tc>
          <w:tcPr>
            <w:tcW w:w="4763" w:type="dxa"/>
            <w:tcBorders>
              <w:bottom w:val="single" w:color="auto" w:sz="12" w:space="0"/>
            </w:tcBorders>
            <w:vAlign w:val="center"/>
          </w:tcPr>
          <w:p w14:paraId="07432FC7">
            <w:pPr>
              <w:pStyle w:val="14"/>
              <w:jc w:val="left"/>
              <w:rPr>
                <w:rFonts w:ascii="宋体" w:hAnsi="宋体"/>
                <w:bCs/>
              </w:rPr>
            </w:pPr>
            <w:r>
              <w:rPr>
                <w:rFonts w:cs="Times New Roman"/>
                <w:bCs/>
              </w:rPr>
              <w:t>4.</w:t>
            </w:r>
            <w:r>
              <w:rPr>
                <w:rFonts w:hint="eastAsia" w:ascii="宋体" w:hAnsi="宋体"/>
                <w:bCs/>
              </w:rPr>
              <w:t>学生能跃出教科书框架，多角度思考，在学习语言知识的同时，训练思维方法，用思维方法指导语言学习。</w:t>
            </w:r>
          </w:p>
        </w:tc>
        <w:tc>
          <w:tcPr>
            <w:tcW w:w="1348" w:type="dxa"/>
            <w:tcBorders>
              <w:bottom w:val="single" w:color="auto" w:sz="12" w:space="0"/>
              <w:right w:val="single" w:color="auto" w:sz="12" w:space="0"/>
            </w:tcBorders>
            <w:vAlign w:val="center"/>
          </w:tcPr>
          <w:p w14:paraId="7B78927D">
            <w:pPr>
              <w:pStyle w:val="14"/>
              <w:rPr>
                <w:rFonts w:ascii="宋体" w:hAnsi="宋体"/>
                <w:bCs/>
              </w:rPr>
            </w:pPr>
            <w:r>
              <w:rPr>
                <w:rFonts w:hint="eastAsia" w:ascii="宋体" w:hAnsi="宋体"/>
                <w:bCs/>
              </w:rPr>
              <w:t>100%</w:t>
            </w:r>
          </w:p>
        </w:tc>
      </w:tr>
    </w:tbl>
    <w:p w14:paraId="69BE259E">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07F1426">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650E34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E72C923">
            <w:pPr>
              <w:pStyle w:val="14"/>
              <w:widowControl w:val="0"/>
              <w:jc w:val="left"/>
              <w:rPr>
                <w:rFonts w:ascii="宋体" w:hAnsi="宋体"/>
                <w:bCs/>
              </w:rPr>
            </w:pPr>
            <w:bookmarkStart w:id="0" w:name="OLE_LINK5"/>
            <w:bookmarkStart w:id="1" w:name="OLE_LINK6"/>
            <w:r>
              <w:rPr>
                <w:rFonts w:hint="eastAsia" w:ascii="宋体" w:hAnsi="宋体"/>
                <w:bCs/>
              </w:rPr>
              <w:t xml:space="preserve">第一单元 </w:t>
            </w:r>
            <w:r>
              <w:rPr>
                <w:rFonts w:cs="Times New Roman"/>
                <w:bCs/>
              </w:rPr>
              <w:t xml:space="preserve">Never give in, Never, Never, Never </w:t>
            </w:r>
          </w:p>
          <w:p w14:paraId="7188B8FA">
            <w:pPr>
              <w:pStyle w:val="14"/>
              <w:widowControl w:val="0"/>
              <w:jc w:val="left"/>
              <w:rPr>
                <w:rFonts w:ascii="宋体" w:hAnsi="宋体"/>
                <w:bCs/>
              </w:rPr>
            </w:pPr>
            <w:r>
              <w:rPr>
                <w:rFonts w:hint="eastAsia" w:ascii="宋体" w:hAnsi="宋体"/>
                <w:bCs/>
              </w:rPr>
              <w:t>知识点：知道丘吉尔的生平和演讲特点；理解篇章词汇意义，分析长难句子结构。</w:t>
            </w:r>
          </w:p>
          <w:p w14:paraId="5F93610B">
            <w:pPr>
              <w:pStyle w:val="14"/>
              <w:widowControl w:val="0"/>
              <w:jc w:val="left"/>
              <w:rPr>
                <w:rFonts w:ascii="宋体" w:hAnsi="宋体"/>
                <w:bCs/>
              </w:rPr>
            </w:pPr>
            <w:r>
              <w:rPr>
                <w:rFonts w:hint="eastAsia" w:ascii="宋体" w:hAnsi="宋体"/>
                <w:bCs/>
              </w:rPr>
              <w:t>能力要求：正确理解课文内容；熟悉演讲稿的写作方法（演讲文体）；对课文中出现的突出语法现象（并列结构和时态）进行应运。</w:t>
            </w:r>
          </w:p>
          <w:p w14:paraId="40315D29">
            <w:pPr>
              <w:pStyle w:val="14"/>
              <w:widowControl w:val="0"/>
              <w:jc w:val="left"/>
              <w:rPr>
                <w:rFonts w:ascii="宋体" w:hAnsi="宋体"/>
                <w:bCs/>
              </w:rPr>
            </w:pPr>
            <w:r>
              <w:rPr>
                <w:rFonts w:hint="eastAsia" w:ascii="宋体" w:hAnsi="宋体"/>
                <w:bCs/>
              </w:rPr>
              <w:t>教学重点：演讲文体的结构和特点; 修辞手法（排比和反复）的功能；本单元长难句的理解。</w:t>
            </w:r>
          </w:p>
          <w:p w14:paraId="13AA189F">
            <w:pPr>
              <w:pStyle w:val="14"/>
              <w:widowControl w:val="0"/>
              <w:jc w:val="left"/>
              <w:rPr>
                <w:rFonts w:ascii="宋体" w:hAnsi="宋体"/>
              </w:rPr>
            </w:pPr>
            <w:r>
              <w:rPr>
                <w:rFonts w:hint="eastAsia" w:ascii="宋体" w:hAnsi="宋体"/>
                <w:bCs/>
              </w:rPr>
              <w:t>教学难点：掌握演讲文体的用词特点和修辞特点；准确运用并列结构和动词时态。</w:t>
            </w:r>
          </w:p>
        </w:tc>
      </w:tr>
      <w:tr w14:paraId="16EED79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A6E2212">
            <w:pPr>
              <w:pStyle w:val="14"/>
              <w:widowControl w:val="0"/>
              <w:jc w:val="left"/>
              <w:rPr>
                <w:rFonts w:cs="Times New Roman"/>
              </w:rPr>
            </w:pPr>
            <w:r>
              <w:rPr>
                <w:rFonts w:hint="eastAsia" w:ascii="宋体" w:hAnsi="宋体"/>
              </w:rPr>
              <w:t>第二单元</w:t>
            </w:r>
            <w:r>
              <w:rPr>
                <w:rFonts w:cs="Times New Roman"/>
              </w:rPr>
              <w:t xml:space="preserve"> Alienation and the Internet</w:t>
            </w:r>
          </w:p>
          <w:p w14:paraId="7477F0AF">
            <w:pPr>
              <w:pStyle w:val="14"/>
              <w:widowControl w:val="0"/>
              <w:jc w:val="left"/>
              <w:rPr>
                <w:rFonts w:ascii="宋体" w:hAnsi="宋体"/>
              </w:rPr>
            </w:pPr>
            <w:r>
              <w:rPr>
                <w:rFonts w:hint="eastAsia" w:ascii="宋体" w:hAnsi="宋体"/>
              </w:rPr>
              <w:t>知识点：知道论说文的写作方法；理解课文的中心论点；分析课文中的逻辑关系。</w:t>
            </w:r>
          </w:p>
          <w:p w14:paraId="06E2B2EA">
            <w:pPr>
              <w:pStyle w:val="14"/>
              <w:widowControl w:val="0"/>
              <w:jc w:val="left"/>
              <w:rPr>
                <w:rFonts w:ascii="宋体" w:hAnsi="宋体"/>
              </w:rPr>
            </w:pPr>
            <w:r>
              <w:rPr>
                <w:rFonts w:hint="eastAsia" w:ascii="宋体" w:hAnsi="宋体"/>
              </w:rPr>
              <w:t>能力要求：了解议论文的结构特点并写作；对课文中出现的突出语法现象（独立主格结构，介词使用）进行应运；培养人际交往意识。</w:t>
            </w:r>
          </w:p>
          <w:p w14:paraId="11932501">
            <w:pPr>
              <w:pStyle w:val="14"/>
              <w:widowControl w:val="0"/>
              <w:jc w:val="left"/>
              <w:rPr>
                <w:rFonts w:ascii="宋体" w:hAnsi="宋体"/>
              </w:rPr>
            </w:pPr>
            <w:r>
              <w:rPr>
                <w:rFonts w:hint="eastAsia" w:ascii="宋体" w:hAnsi="宋体"/>
              </w:rPr>
              <w:t>教学重点：议论文的结构和写作；独立主格结构的应运。</w:t>
            </w:r>
          </w:p>
          <w:p w14:paraId="3F3C0954">
            <w:pPr>
              <w:pStyle w:val="14"/>
              <w:widowControl w:val="0"/>
              <w:jc w:val="left"/>
              <w:rPr>
                <w:rFonts w:ascii="宋体" w:hAnsi="宋体"/>
              </w:rPr>
            </w:pPr>
            <w:r>
              <w:rPr>
                <w:rFonts w:hint="eastAsia" w:ascii="宋体" w:hAnsi="宋体"/>
              </w:rPr>
              <w:t>教学难点：掌握议论文的写作方法；引导学生正确使用电子设备，正确处理网络和现实的关系。</w:t>
            </w:r>
          </w:p>
        </w:tc>
      </w:tr>
      <w:tr w14:paraId="756CE79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9354557">
            <w:pPr>
              <w:pStyle w:val="14"/>
              <w:widowControl w:val="0"/>
              <w:jc w:val="left"/>
              <w:rPr>
                <w:rFonts w:cs="Times New Roman"/>
              </w:rPr>
            </w:pPr>
            <w:r>
              <w:rPr>
                <w:rFonts w:hint="eastAsia" w:ascii="宋体" w:hAnsi="宋体"/>
              </w:rPr>
              <w:t>第三单元</w:t>
            </w:r>
            <w:r>
              <w:rPr>
                <w:rFonts w:cs="Times New Roman"/>
              </w:rPr>
              <w:t xml:space="preserve"> A View of Mountains</w:t>
            </w:r>
          </w:p>
          <w:p w14:paraId="4378307B">
            <w:pPr>
              <w:pStyle w:val="14"/>
              <w:widowControl w:val="0"/>
              <w:jc w:val="left"/>
              <w:rPr>
                <w:rFonts w:ascii="宋体" w:hAnsi="宋体"/>
              </w:rPr>
            </w:pPr>
            <w:r>
              <w:rPr>
                <w:rFonts w:hint="eastAsia" w:ascii="宋体" w:hAnsi="宋体"/>
              </w:rPr>
              <w:t>知识点：知道长崎核爆炸的历史背景；理解课文中的生词和长难句。</w:t>
            </w:r>
          </w:p>
          <w:p w14:paraId="517E827E">
            <w:pPr>
              <w:pStyle w:val="14"/>
              <w:widowControl w:val="0"/>
              <w:jc w:val="left"/>
              <w:rPr>
                <w:rFonts w:ascii="宋体" w:hAnsi="宋体"/>
              </w:rPr>
            </w:pPr>
            <w:r>
              <w:rPr>
                <w:rFonts w:hint="eastAsia" w:ascii="宋体" w:hAnsi="宋体"/>
              </w:rPr>
              <w:t>能力要求：能够分析议论文中的论据的使用；对课文中出现的突出语法现象（比较级的特殊用法）进行应运。</w:t>
            </w:r>
          </w:p>
          <w:p w14:paraId="6AE5F9D2">
            <w:pPr>
              <w:pStyle w:val="14"/>
              <w:widowControl w:val="0"/>
              <w:jc w:val="left"/>
              <w:rPr>
                <w:rFonts w:ascii="宋体" w:hAnsi="宋体"/>
              </w:rPr>
            </w:pPr>
            <w:r>
              <w:rPr>
                <w:rFonts w:hint="eastAsia" w:ascii="宋体" w:hAnsi="宋体"/>
              </w:rPr>
              <w:t>教学重点：论据的分类；理解长难句和重点词汇；课文中心论点和支撑论点的关系把握。</w:t>
            </w:r>
          </w:p>
          <w:p w14:paraId="3306D5A0">
            <w:pPr>
              <w:pStyle w:val="14"/>
              <w:widowControl w:val="0"/>
              <w:jc w:val="left"/>
              <w:rPr>
                <w:rFonts w:ascii="宋体" w:hAnsi="宋体"/>
              </w:rPr>
            </w:pPr>
            <w:r>
              <w:rPr>
                <w:rFonts w:hint="eastAsia" w:ascii="宋体" w:hAnsi="宋体"/>
              </w:rPr>
              <w:t>教学难点：理解核武器的危害；培养学生维护世界和平，构建人类命运共同体的情怀。</w:t>
            </w:r>
          </w:p>
        </w:tc>
      </w:tr>
      <w:tr w14:paraId="1A0D4D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B8EC847">
            <w:pPr>
              <w:pStyle w:val="14"/>
              <w:widowControl w:val="0"/>
              <w:jc w:val="left"/>
              <w:rPr>
                <w:rFonts w:cs="Times New Roman"/>
              </w:rPr>
            </w:pPr>
            <w:r>
              <w:rPr>
                <w:rFonts w:hint="eastAsia" w:ascii="宋体" w:hAnsi="宋体"/>
              </w:rPr>
              <w:t xml:space="preserve">第四单元  </w:t>
            </w:r>
            <w:r>
              <w:rPr>
                <w:rFonts w:cs="Times New Roman"/>
              </w:rPr>
              <w:t>A French Fourth</w:t>
            </w:r>
          </w:p>
          <w:p w14:paraId="7FCC6B77">
            <w:pPr>
              <w:pStyle w:val="14"/>
              <w:widowControl w:val="0"/>
              <w:jc w:val="left"/>
              <w:rPr>
                <w:rFonts w:ascii="宋体" w:hAnsi="宋体"/>
              </w:rPr>
            </w:pPr>
            <w:r>
              <w:rPr>
                <w:rFonts w:hint="eastAsia" w:ascii="宋体" w:hAnsi="宋体"/>
              </w:rPr>
              <w:t>知识点：知道美国独立日背后的历史事件；理解全球化对文化交流的影响。</w:t>
            </w:r>
          </w:p>
          <w:p w14:paraId="5EB680C1">
            <w:pPr>
              <w:pStyle w:val="14"/>
              <w:widowControl w:val="0"/>
              <w:jc w:val="left"/>
              <w:rPr>
                <w:rFonts w:ascii="宋体" w:hAnsi="宋体"/>
              </w:rPr>
            </w:pPr>
            <w:r>
              <w:rPr>
                <w:rFonts w:hint="eastAsia" w:ascii="宋体" w:hAnsi="宋体"/>
              </w:rPr>
              <w:t>能力要求：理解文化冲突概念；分析全球化的利弊并提出见解；对课文中出现的突出语法现象（双重定语从句）进行运用。</w:t>
            </w:r>
          </w:p>
          <w:p w14:paraId="0E452BFA">
            <w:pPr>
              <w:pStyle w:val="14"/>
              <w:widowControl w:val="0"/>
              <w:jc w:val="left"/>
              <w:rPr>
                <w:rFonts w:ascii="宋体" w:hAnsi="宋体"/>
              </w:rPr>
            </w:pPr>
            <w:r>
              <w:rPr>
                <w:rFonts w:hint="eastAsia" w:ascii="宋体" w:hAnsi="宋体"/>
              </w:rPr>
              <w:t>教学重点：课文中的生词和长难句；美国成立的历史背景；全球化的利弊分析。</w:t>
            </w:r>
          </w:p>
          <w:p w14:paraId="0F4EA821">
            <w:pPr>
              <w:pStyle w:val="14"/>
              <w:widowControl w:val="0"/>
              <w:jc w:val="left"/>
              <w:rPr>
                <w:rFonts w:ascii="宋体" w:hAnsi="宋体"/>
              </w:rPr>
            </w:pPr>
            <w:r>
              <w:rPr>
                <w:rFonts w:hint="eastAsia" w:ascii="宋体" w:hAnsi="宋体"/>
              </w:rPr>
              <w:t>教学难点：培养批判性思维，能分析事物的对立面；培养跨文化交流意识。</w:t>
            </w:r>
          </w:p>
        </w:tc>
      </w:tr>
      <w:tr w14:paraId="618FD7A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6456754">
            <w:pPr>
              <w:pStyle w:val="14"/>
              <w:widowControl w:val="0"/>
              <w:jc w:val="left"/>
              <w:rPr>
                <w:rFonts w:cs="Times New Roman"/>
              </w:rPr>
            </w:pPr>
            <w:r>
              <w:rPr>
                <w:rFonts w:hint="eastAsia" w:ascii="宋体" w:hAnsi="宋体"/>
              </w:rPr>
              <w:t xml:space="preserve">第六单元  </w:t>
            </w:r>
            <w:r>
              <w:rPr>
                <w:rFonts w:cs="Times New Roman"/>
              </w:rPr>
              <w:t>The Discus Thrower</w:t>
            </w:r>
          </w:p>
          <w:p w14:paraId="39D8C39C">
            <w:pPr>
              <w:pStyle w:val="14"/>
              <w:widowControl w:val="0"/>
              <w:jc w:val="left"/>
              <w:rPr>
                <w:rFonts w:ascii="宋体" w:hAnsi="宋体"/>
              </w:rPr>
            </w:pPr>
            <w:r>
              <w:rPr>
                <w:rFonts w:hint="eastAsia" w:ascii="宋体" w:hAnsi="宋体"/>
              </w:rPr>
              <w:t>知识点：知道小说作家的背景知识；知道短篇小说的结构特点；理解小说的主题；分析小说中的人物形象。</w:t>
            </w:r>
          </w:p>
          <w:p w14:paraId="102CA9DA">
            <w:pPr>
              <w:pStyle w:val="14"/>
              <w:widowControl w:val="0"/>
              <w:jc w:val="left"/>
              <w:rPr>
                <w:rFonts w:ascii="宋体" w:hAnsi="宋体"/>
              </w:rPr>
            </w:pPr>
            <w:r>
              <w:rPr>
                <w:rFonts w:hint="eastAsia" w:ascii="宋体" w:hAnsi="宋体"/>
              </w:rPr>
              <w:t>能力要求：能读懂中等难度的短篇小说并把握主题；能理解文章不同人物的形象特点；掌握语法现象“</w:t>
            </w:r>
            <w:r>
              <w:rPr>
                <w:rFonts w:cs="Times New Roman"/>
              </w:rPr>
              <w:t>as if</w:t>
            </w:r>
            <w:r>
              <w:rPr>
                <w:rFonts w:hint="eastAsia" w:ascii="宋体" w:hAnsi="宋体"/>
              </w:rPr>
              <w:t>”与“</w:t>
            </w:r>
            <w:r>
              <w:rPr>
                <w:rFonts w:cs="Times New Roman"/>
              </w:rPr>
              <w:t>as though</w:t>
            </w:r>
            <w:r>
              <w:rPr>
                <w:rFonts w:hint="eastAsia" w:ascii="宋体" w:hAnsi="宋体"/>
              </w:rPr>
              <w:t>” 的区别。</w:t>
            </w:r>
          </w:p>
          <w:p w14:paraId="2B271AA7">
            <w:pPr>
              <w:pStyle w:val="14"/>
              <w:widowControl w:val="0"/>
              <w:jc w:val="left"/>
              <w:rPr>
                <w:rFonts w:ascii="宋体" w:hAnsi="宋体"/>
              </w:rPr>
            </w:pPr>
            <w:r>
              <w:rPr>
                <w:rFonts w:hint="eastAsia" w:ascii="宋体" w:hAnsi="宋体"/>
              </w:rPr>
              <w:t>教学重点：小说的基本要素；文章中对话的理解和对人物形象塑造的功能；文章中重点语言现象。</w:t>
            </w:r>
          </w:p>
          <w:p w14:paraId="57BDD10B">
            <w:pPr>
              <w:pStyle w:val="14"/>
              <w:widowControl w:val="0"/>
              <w:jc w:val="left"/>
              <w:rPr>
                <w:rFonts w:ascii="宋体" w:hAnsi="宋体"/>
              </w:rPr>
            </w:pPr>
            <w:r>
              <w:rPr>
                <w:rFonts w:hint="eastAsia" w:ascii="宋体" w:hAnsi="宋体"/>
              </w:rPr>
              <w:t>教学难点：小说中细节描写的理解；病人和医生之间的关系把握；引导学生正确处理困境，培养积极的人生观。 </w:t>
            </w:r>
          </w:p>
        </w:tc>
      </w:tr>
      <w:tr w14:paraId="242A09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7E3268A">
            <w:pPr>
              <w:pStyle w:val="14"/>
              <w:widowControl w:val="0"/>
              <w:jc w:val="left"/>
              <w:rPr>
                <w:rFonts w:cs="Times New Roman"/>
              </w:rPr>
            </w:pPr>
            <w:r>
              <w:rPr>
                <w:rFonts w:hint="eastAsia" w:ascii="宋体" w:hAnsi="宋体"/>
              </w:rPr>
              <w:t xml:space="preserve">第九单元 </w:t>
            </w:r>
            <w:r>
              <w:rPr>
                <w:rFonts w:cs="Times New Roman"/>
              </w:rPr>
              <w:t>The Idiocy of Urban Life</w:t>
            </w:r>
          </w:p>
          <w:p w14:paraId="2BD1AF15">
            <w:pPr>
              <w:pStyle w:val="14"/>
              <w:widowControl w:val="0"/>
              <w:jc w:val="left"/>
              <w:rPr>
                <w:rFonts w:ascii="宋体" w:hAnsi="宋体"/>
              </w:rPr>
            </w:pPr>
            <w:r>
              <w:rPr>
                <w:rFonts w:hint="eastAsia" w:ascii="宋体" w:hAnsi="宋体"/>
              </w:rPr>
              <w:t>知识点：知道课文的写作背景；理解文章的重点词汇与长难句。</w:t>
            </w:r>
          </w:p>
          <w:p w14:paraId="6B507DAB">
            <w:pPr>
              <w:pStyle w:val="14"/>
              <w:widowControl w:val="0"/>
              <w:jc w:val="left"/>
              <w:rPr>
                <w:rFonts w:ascii="宋体" w:hAnsi="宋体"/>
              </w:rPr>
            </w:pPr>
            <w:r>
              <w:rPr>
                <w:rFonts w:hint="eastAsia" w:ascii="宋体" w:hAnsi="宋体"/>
              </w:rPr>
              <w:t>能力要求：能掌握议论文的写作特点（论点的提出、论据的分析和结论的概述）；理解文章中的长难句；分析作者认为城市生活愚蠢的原因；对课文中的语法现象（强调句）进行应运。</w:t>
            </w:r>
          </w:p>
          <w:p w14:paraId="57126012">
            <w:pPr>
              <w:pStyle w:val="14"/>
              <w:widowControl w:val="0"/>
              <w:jc w:val="left"/>
              <w:rPr>
                <w:rFonts w:ascii="宋体" w:hAnsi="宋体"/>
              </w:rPr>
            </w:pPr>
            <w:r>
              <w:rPr>
                <w:rFonts w:hint="eastAsia" w:ascii="宋体" w:hAnsi="宋体"/>
              </w:rPr>
              <w:t>教学重点：议论文题材文章的特点；长难句的准确理解；文章中修辞手法的作用；写作中从结果到原因的分析。</w:t>
            </w:r>
          </w:p>
          <w:p w14:paraId="54F31DA8">
            <w:pPr>
              <w:pStyle w:val="14"/>
              <w:widowControl w:val="0"/>
              <w:jc w:val="left"/>
              <w:rPr>
                <w:rFonts w:ascii="宋体" w:hAnsi="宋体"/>
              </w:rPr>
            </w:pPr>
            <w:r>
              <w:rPr>
                <w:rFonts w:hint="eastAsia" w:ascii="宋体" w:hAnsi="宋体"/>
              </w:rPr>
              <w:t>教学难点：能够读懂一般议论文文章；准确使用强调句；能够用英语比较中国城市和乡村生活的优缺点。</w:t>
            </w:r>
          </w:p>
        </w:tc>
      </w:tr>
      <w:bookmarkEnd w:id="0"/>
      <w:bookmarkEnd w:id="1"/>
    </w:tbl>
    <w:p w14:paraId="6F5B5FF0">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0BA0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3AAD2B5F">
            <w:pPr>
              <w:pStyle w:val="13"/>
              <w:ind w:firstLine="489"/>
              <w:jc w:val="right"/>
              <w:rPr>
                <w:szCs w:val="16"/>
              </w:rPr>
            </w:pPr>
            <w:r>
              <w:rPr>
                <w:rFonts w:hint="eastAsia"/>
                <w:szCs w:val="16"/>
              </w:rPr>
              <w:t>课程目标</w:t>
            </w:r>
          </w:p>
          <w:p w14:paraId="42708EC1">
            <w:pPr>
              <w:pStyle w:val="13"/>
              <w:ind w:right="210"/>
              <w:jc w:val="left"/>
              <w:rPr>
                <w:szCs w:val="16"/>
              </w:rPr>
            </w:pPr>
          </w:p>
          <w:p w14:paraId="6E3EEF77">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548B4EBC">
            <w:pPr>
              <w:pStyle w:val="13"/>
              <w:rPr>
                <w:szCs w:val="16"/>
              </w:rPr>
            </w:pPr>
            <w:r>
              <w:rPr>
                <w:szCs w:val="16"/>
              </w:rPr>
              <w:t>1</w:t>
            </w:r>
          </w:p>
        </w:tc>
        <w:tc>
          <w:tcPr>
            <w:tcW w:w="1074" w:type="dxa"/>
            <w:tcBorders>
              <w:top w:val="single" w:color="auto" w:sz="12" w:space="0"/>
            </w:tcBorders>
            <w:vAlign w:val="center"/>
          </w:tcPr>
          <w:p w14:paraId="33CA31B9">
            <w:pPr>
              <w:pStyle w:val="13"/>
              <w:rPr>
                <w:szCs w:val="16"/>
              </w:rPr>
            </w:pPr>
            <w:r>
              <w:rPr>
                <w:szCs w:val="16"/>
              </w:rPr>
              <w:t>2</w:t>
            </w:r>
          </w:p>
        </w:tc>
        <w:tc>
          <w:tcPr>
            <w:tcW w:w="1074" w:type="dxa"/>
            <w:tcBorders>
              <w:top w:val="single" w:color="auto" w:sz="12" w:space="0"/>
            </w:tcBorders>
            <w:vAlign w:val="center"/>
          </w:tcPr>
          <w:p w14:paraId="31225F68">
            <w:pPr>
              <w:pStyle w:val="13"/>
              <w:rPr>
                <w:szCs w:val="16"/>
              </w:rPr>
            </w:pPr>
            <w:r>
              <w:rPr>
                <w:szCs w:val="16"/>
              </w:rPr>
              <w:t>3</w:t>
            </w:r>
          </w:p>
        </w:tc>
        <w:tc>
          <w:tcPr>
            <w:tcW w:w="1073" w:type="dxa"/>
            <w:tcBorders>
              <w:top w:val="single" w:color="auto" w:sz="12" w:space="0"/>
            </w:tcBorders>
            <w:vAlign w:val="center"/>
          </w:tcPr>
          <w:p w14:paraId="72E345C2">
            <w:pPr>
              <w:pStyle w:val="13"/>
              <w:rPr>
                <w:szCs w:val="16"/>
              </w:rPr>
            </w:pPr>
            <w:r>
              <w:rPr>
                <w:rFonts w:hint="eastAsia"/>
                <w:szCs w:val="16"/>
              </w:rPr>
              <w:t>4</w:t>
            </w:r>
          </w:p>
        </w:tc>
        <w:tc>
          <w:tcPr>
            <w:tcW w:w="1073" w:type="dxa"/>
            <w:tcBorders>
              <w:top w:val="single" w:color="auto" w:sz="12" w:space="0"/>
            </w:tcBorders>
            <w:vAlign w:val="center"/>
          </w:tcPr>
          <w:p w14:paraId="56B08F4F">
            <w:pPr>
              <w:pStyle w:val="13"/>
              <w:rPr>
                <w:szCs w:val="16"/>
              </w:rPr>
            </w:pPr>
            <w:r>
              <w:rPr>
                <w:rFonts w:hint="eastAsia"/>
                <w:szCs w:val="16"/>
              </w:rPr>
              <w:t>5</w:t>
            </w:r>
          </w:p>
        </w:tc>
        <w:tc>
          <w:tcPr>
            <w:tcW w:w="1074" w:type="dxa"/>
            <w:tcBorders>
              <w:top w:val="single" w:color="auto" w:sz="12" w:space="0"/>
              <w:right w:val="single" w:color="auto" w:sz="12" w:space="0"/>
            </w:tcBorders>
            <w:vAlign w:val="center"/>
          </w:tcPr>
          <w:p w14:paraId="27C6E624">
            <w:pPr>
              <w:pStyle w:val="13"/>
              <w:rPr>
                <w:szCs w:val="16"/>
              </w:rPr>
            </w:pPr>
          </w:p>
        </w:tc>
      </w:tr>
      <w:tr w14:paraId="088B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1F3CF06F">
            <w:pPr>
              <w:pStyle w:val="14"/>
              <w:widowControl w:val="0"/>
              <w:jc w:val="left"/>
            </w:pPr>
            <w:r>
              <w:rPr>
                <w:rFonts w:hint="eastAsia" w:ascii="宋体" w:hAnsi="宋体"/>
                <w:bCs/>
              </w:rPr>
              <w:t xml:space="preserve">第一单元 </w:t>
            </w:r>
            <w:r>
              <w:rPr>
                <w:rFonts w:cs="Times New Roman"/>
                <w:bCs/>
              </w:rPr>
              <w:t xml:space="preserve">Never give in, Never, Never, Never </w:t>
            </w:r>
          </w:p>
        </w:tc>
        <w:tc>
          <w:tcPr>
            <w:tcW w:w="1074" w:type="dxa"/>
            <w:vAlign w:val="center"/>
          </w:tcPr>
          <w:p w14:paraId="3B06BD0F">
            <w:pPr>
              <w:pStyle w:val="14"/>
            </w:pPr>
            <w:r>
              <w:rPr>
                <w:rFonts w:ascii="宋体" w:hAnsi="宋体"/>
                <w:color w:val="000000" w:themeColor="text1"/>
                <w14:textFill>
                  <w14:solidFill>
                    <w14:schemeClr w14:val="tx1"/>
                  </w14:solidFill>
                </w14:textFill>
              </w:rPr>
              <w:t>√</w:t>
            </w:r>
          </w:p>
        </w:tc>
        <w:tc>
          <w:tcPr>
            <w:tcW w:w="1074" w:type="dxa"/>
            <w:vAlign w:val="center"/>
          </w:tcPr>
          <w:p w14:paraId="4DAFA7AD">
            <w:pPr>
              <w:pStyle w:val="14"/>
            </w:pPr>
            <w:r>
              <w:rPr>
                <w:rFonts w:ascii="宋体" w:hAnsi="宋体"/>
                <w:color w:val="000000" w:themeColor="text1"/>
                <w14:textFill>
                  <w14:solidFill>
                    <w14:schemeClr w14:val="tx1"/>
                  </w14:solidFill>
                </w14:textFill>
              </w:rPr>
              <w:t>√</w:t>
            </w:r>
          </w:p>
        </w:tc>
        <w:tc>
          <w:tcPr>
            <w:tcW w:w="1074" w:type="dxa"/>
            <w:vAlign w:val="center"/>
          </w:tcPr>
          <w:p w14:paraId="7AE6DAEB">
            <w:pPr>
              <w:pStyle w:val="14"/>
            </w:pPr>
          </w:p>
        </w:tc>
        <w:tc>
          <w:tcPr>
            <w:tcW w:w="1073" w:type="dxa"/>
            <w:vAlign w:val="center"/>
          </w:tcPr>
          <w:p w14:paraId="6C7A244A">
            <w:pPr>
              <w:pStyle w:val="14"/>
            </w:pPr>
            <w:r>
              <w:rPr>
                <w:rFonts w:ascii="宋体" w:hAnsi="宋体"/>
                <w:color w:val="000000" w:themeColor="text1"/>
                <w14:textFill>
                  <w14:solidFill>
                    <w14:schemeClr w14:val="tx1"/>
                  </w14:solidFill>
                </w14:textFill>
              </w:rPr>
              <w:t>√</w:t>
            </w:r>
          </w:p>
        </w:tc>
        <w:tc>
          <w:tcPr>
            <w:tcW w:w="1073" w:type="dxa"/>
            <w:vAlign w:val="center"/>
          </w:tcPr>
          <w:p w14:paraId="730495C8">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2E99CB79">
            <w:pPr>
              <w:pStyle w:val="14"/>
            </w:pPr>
          </w:p>
        </w:tc>
      </w:tr>
      <w:tr w14:paraId="16D9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1B65DA73">
            <w:pPr>
              <w:pStyle w:val="14"/>
              <w:widowControl w:val="0"/>
              <w:jc w:val="left"/>
            </w:pPr>
            <w:r>
              <w:rPr>
                <w:rFonts w:hint="eastAsia" w:ascii="宋体" w:hAnsi="宋体"/>
              </w:rPr>
              <w:t>第二单元</w:t>
            </w:r>
            <w:r>
              <w:rPr>
                <w:rFonts w:cs="Times New Roman"/>
              </w:rPr>
              <w:t xml:space="preserve"> Alienation and the Internet</w:t>
            </w:r>
          </w:p>
        </w:tc>
        <w:tc>
          <w:tcPr>
            <w:tcW w:w="1074" w:type="dxa"/>
            <w:vAlign w:val="center"/>
          </w:tcPr>
          <w:p w14:paraId="37A7AE9E">
            <w:pPr>
              <w:pStyle w:val="14"/>
            </w:pPr>
            <w:r>
              <w:rPr>
                <w:rFonts w:ascii="宋体" w:hAnsi="宋体"/>
                <w:color w:val="000000" w:themeColor="text1"/>
                <w14:textFill>
                  <w14:solidFill>
                    <w14:schemeClr w14:val="tx1"/>
                  </w14:solidFill>
                </w14:textFill>
              </w:rPr>
              <w:t>√</w:t>
            </w:r>
          </w:p>
        </w:tc>
        <w:tc>
          <w:tcPr>
            <w:tcW w:w="1074" w:type="dxa"/>
            <w:vAlign w:val="center"/>
          </w:tcPr>
          <w:p w14:paraId="2D5399D5">
            <w:pPr>
              <w:pStyle w:val="14"/>
            </w:pPr>
            <w:r>
              <w:rPr>
                <w:rFonts w:ascii="宋体" w:hAnsi="宋体"/>
                <w:color w:val="000000" w:themeColor="text1"/>
                <w14:textFill>
                  <w14:solidFill>
                    <w14:schemeClr w14:val="tx1"/>
                  </w14:solidFill>
                </w14:textFill>
              </w:rPr>
              <w:t>√</w:t>
            </w:r>
          </w:p>
        </w:tc>
        <w:tc>
          <w:tcPr>
            <w:tcW w:w="1074" w:type="dxa"/>
            <w:vAlign w:val="center"/>
          </w:tcPr>
          <w:p w14:paraId="5C574701">
            <w:pPr>
              <w:pStyle w:val="14"/>
            </w:pPr>
          </w:p>
        </w:tc>
        <w:tc>
          <w:tcPr>
            <w:tcW w:w="1073" w:type="dxa"/>
            <w:vAlign w:val="center"/>
          </w:tcPr>
          <w:p w14:paraId="56D32A94">
            <w:pPr>
              <w:pStyle w:val="14"/>
            </w:pPr>
            <w:r>
              <w:rPr>
                <w:rFonts w:ascii="宋体" w:hAnsi="宋体"/>
                <w:color w:val="000000" w:themeColor="text1"/>
                <w14:textFill>
                  <w14:solidFill>
                    <w14:schemeClr w14:val="tx1"/>
                  </w14:solidFill>
                </w14:textFill>
              </w:rPr>
              <w:t>√</w:t>
            </w:r>
          </w:p>
        </w:tc>
        <w:tc>
          <w:tcPr>
            <w:tcW w:w="1073" w:type="dxa"/>
            <w:vAlign w:val="center"/>
          </w:tcPr>
          <w:p w14:paraId="557A472F">
            <w:pPr>
              <w:pStyle w:val="14"/>
            </w:pPr>
          </w:p>
        </w:tc>
        <w:tc>
          <w:tcPr>
            <w:tcW w:w="1074" w:type="dxa"/>
            <w:tcBorders>
              <w:right w:val="single" w:color="auto" w:sz="12" w:space="0"/>
            </w:tcBorders>
            <w:vAlign w:val="center"/>
          </w:tcPr>
          <w:p w14:paraId="0801A93D">
            <w:pPr>
              <w:pStyle w:val="14"/>
            </w:pPr>
          </w:p>
        </w:tc>
      </w:tr>
      <w:tr w14:paraId="516A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C9CDAB0">
            <w:pPr>
              <w:pStyle w:val="14"/>
              <w:widowControl w:val="0"/>
              <w:jc w:val="left"/>
            </w:pPr>
            <w:r>
              <w:rPr>
                <w:rFonts w:hint="eastAsia" w:ascii="宋体" w:hAnsi="宋体"/>
              </w:rPr>
              <w:t>第三单元</w:t>
            </w:r>
            <w:r>
              <w:rPr>
                <w:rFonts w:cs="Times New Roman"/>
              </w:rPr>
              <w:t xml:space="preserve"> A View of Mountains</w:t>
            </w:r>
          </w:p>
        </w:tc>
        <w:tc>
          <w:tcPr>
            <w:tcW w:w="1074" w:type="dxa"/>
            <w:vAlign w:val="center"/>
          </w:tcPr>
          <w:p w14:paraId="6385111B">
            <w:pPr>
              <w:pStyle w:val="14"/>
            </w:pPr>
            <w:r>
              <w:rPr>
                <w:rFonts w:ascii="宋体" w:hAnsi="宋体"/>
                <w:color w:val="000000" w:themeColor="text1"/>
                <w14:textFill>
                  <w14:solidFill>
                    <w14:schemeClr w14:val="tx1"/>
                  </w14:solidFill>
                </w14:textFill>
              </w:rPr>
              <w:t>√</w:t>
            </w:r>
          </w:p>
        </w:tc>
        <w:tc>
          <w:tcPr>
            <w:tcW w:w="1074" w:type="dxa"/>
            <w:vAlign w:val="center"/>
          </w:tcPr>
          <w:p w14:paraId="600E3661">
            <w:pPr>
              <w:pStyle w:val="14"/>
            </w:pPr>
            <w:r>
              <w:rPr>
                <w:rFonts w:ascii="宋体" w:hAnsi="宋体"/>
                <w:color w:val="000000" w:themeColor="text1"/>
                <w14:textFill>
                  <w14:solidFill>
                    <w14:schemeClr w14:val="tx1"/>
                  </w14:solidFill>
                </w14:textFill>
              </w:rPr>
              <w:t>√</w:t>
            </w:r>
          </w:p>
        </w:tc>
        <w:tc>
          <w:tcPr>
            <w:tcW w:w="1074" w:type="dxa"/>
            <w:vAlign w:val="center"/>
          </w:tcPr>
          <w:p w14:paraId="21A434B5">
            <w:pPr>
              <w:pStyle w:val="14"/>
            </w:pPr>
            <w:r>
              <w:rPr>
                <w:rFonts w:ascii="宋体" w:hAnsi="宋体"/>
                <w:color w:val="000000" w:themeColor="text1"/>
                <w14:textFill>
                  <w14:solidFill>
                    <w14:schemeClr w14:val="tx1"/>
                  </w14:solidFill>
                </w14:textFill>
              </w:rPr>
              <w:t>√</w:t>
            </w:r>
          </w:p>
        </w:tc>
        <w:tc>
          <w:tcPr>
            <w:tcW w:w="1073" w:type="dxa"/>
            <w:vAlign w:val="center"/>
          </w:tcPr>
          <w:p w14:paraId="41C44F79">
            <w:pPr>
              <w:pStyle w:val="14"/>
            </w:pPr>
          </w:p>
        </w:tc>
        <w:tc>
          <w:tcPr>
            <w:tcW w:w="1073" w:type="dxa"/>
            <w:vAlign w:val="center"/>
          </w:tcPr>
          <w:p w14:paraId="20A5E300">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020270D7">
            <w:pPr>
              <w:pStyle w:val="14"/>
            </w:pPr>
          </w:p>
        </w:tc>
      </w:tr>
      <w:tr w14:paraId="375E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53ED23CE">
            <w:pPr>
              <w:pStyle w:val="14"/>
              <w:widowControl w:val="0"/>
              <w:jc w:val="left"/>
            </w:pPr>
            <w:r>
              <w:rPr>
                <w:rFonts w:hint="eastAsia" w:ascii="宋体" w:hAnsi="宋体"/>
              </w:rPr>
              <w:t xml:space="preserve">第四单元  </w:t>
            </w:r>
            <w:r>
              <w:rPr>
                <w:rFonts w:cs="Times New Roman"/>
              </w:rPr>
              <w:t>A French Fourth</w:t>
            </w:r>
          </w:p>
        </w:tc>
        <w:tc>
          <w:tcPr>
            <w:tcW w:w="1074" w:type="dxa"/>
            <w:vAlign w:val="center"/>
          </w:tcPr>
          <w:p w14:paraId="2C9AF6E3">
            <w:pPr>
              <w:pStyle w:val="14"/>
            </w:pPr>
            <w:r>
              <w:rPr>
                <w:rFonts w:ascii="宋体" w:hAnsi="宋体"/>
                <w:color w:val="000000" w:themeColor="text1"/>
                <w14:textFill>
                  <w14:solidFill>
                    <w14:schemeClr w14:val="tx1"/>
                  </w14:solidFill>
                </w14:textFill>
              </w:rPr>
              <w:t>√</w:t>
            </w:r>
          </w:p>
        </w:tc>
        <w:tc>
          <w:tcPr>
            <w:tcW w:w="1074" w:type="dxa"/>
            <w:vAlign w:val="center"/>
          </w:tcPr>
          <w:p w14:paraId="36BBF397">
            <w:pPr>
              <w:pStyle w:val="14"/>
            </w:pPr>
          </w:p>
        </w:tc>
        <w:tc>
          <w:tcPr>
            <w:tcW w:w="1074" w:type="dxa"/>
            <w:vAlign w:val="center"/>
          </w:tcPr>
          <w:p w14:paraId="39BEDF6D">
            <w:pPr>
              <w:pStyle w:val="14"/>
            </w:pPr>
          </w:p>
        </w:tc>
        <w:tc>
          <w:tcPr>
            <w:tcW w:w="1073" w:type="dxa"/>
            <w:vAlign w:val="center"/>
          </w:tcPr>
          <w:p w14:paraId="3B6A91FA">
            <w:pPr>
              <w:pStyle w:val="14"/>
            </w:pPr>
            <w:r>
              <w:rPr>
                <w:rFonts w:ascii="宋体" w:hAnsi="宋体"/>
                <w:color w:val="000000" w:themeColor="text1"/>
                <w14:textFill>
                  <w14:solidFill>
                    <w14:schemeClr w14:val="tx1"/>
                  </w14:solidFill>
                </w14:textFill>
              </w:rPr>
              <w:t>√</w:t>
            </w:r>
          </w:p>
        </w:tc>
        <w:tc>
          <w:tcPr>
            <w:tcW w:w="1073" w:type="dxa"/>
            <w:vAlign w:val="center"/>
          </w:tcPr>
          <w:p w14:paraId="7A0839C6">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09849CDD">
            <w:pPr>
              <w:pStyle w:val="14"/>
            </w:pPr>
          </w:p>
        </w:tc>
      </w:tr>
      <w:tr w14:paraId="44A1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8" w:hRule="atLeast"/>
          <w:jc w:val="center"/>
        </w:trPr>
        <w:tc>
          <w:tcPr>
            <w:tcW w:w="1834" w:type="dxa"/>
            <w:tcBorders>
              <w:left w:val="single" w:color="auto" w:sz="12" w:space="0"/>
            </w:tcBorders>
          </w:tcPr>
          <w:p w14:paraId="13DDAB6C">
            <w:pPr>
              <w:pStyle w:val="14"/>
              <w:widowControl w:val="0"/>
              <w:jc w:val="left"/>
            </w:pPr>
            <w:r>
              <w:rPr>
                <w:rFonts w:hint="eastAsia" w:ascii="宋体" w:hAnsi="宋体"/>
              </w:rPr>
              <w:t xml:space="preserve">第六单元  </w:t>
            </w:r>
            <w:r>
              <w:rPr>
                <w:rFonts w:cs="Times New Roman"/>
              </w:rPr>
              <w:t>The Discus Thrower</w:t>
            </w:r>
          </w:p>
        </w:tc>
        <w:tc>
          <w:tcPr>
            <w:tcW w:w="1074" w:type="dxa"/>
            <w:vAlign w:val="center"/>
          </w:tcPr>
          <w:p w14:paraId="01F707AF">
            <w:pPr>
              <w:pStyle w:val="14"/>
            </w:pPr>
            <w:r>
              <w:rPr>
                <w:rFonts w:ascii="宋体" w:hAnsi="宋体"/>
                <w:color w:val="000000" w:themeColor="text1"/>
                <w14:textFill>
                  <w14:solidFill>
                    <w14:schemeClr w14:val="tx1"/>
                  </w14:solidFill>
                </w14:textFill>
              </w:rPr>
              <w:t>√</w:t>
            </w:r>
          </w:p>
        </w:tc>
        <w:tc>
          <w:tcPr>
            <w:tcW w:w="1074" w:type="dxa"/>
            <w:vAlign w:val="center"/>
          </w:tcPr>
          <w:p w14:paraId="0B79675C">
            <w:pPr>
              <w:pStyle w:val="14"/>
            </w:pPr>
            <w:r>
              <w:rPr>
                <w:rFonts w:ascii="宋体" w:hAnsi="宋体"/>
                <w:color w:val="000000" w:themeColor="text1"/>
                <w14:textFill>
                  <w14:solidFill>
                    <w14:schemeClr w14:val="tx1"/>
                  </w14:solidFill>
                </w14:textFill>
              </w:rPr>
              <w:t>√</w:t>
            </w:r>
          </w:p>
        </w:tc>
        <w:tc>
          <w:tcPr>
            <w:tcW w:w="1074" w:type="dxa"/>
            <w:vAlign w:val="center"/>
          </w:tcPr>
          <w:p w14:paraId="462A7547">
            <w:pPr>
              <w:pStyle w:val="14"/>
            </w:pPr>
            <w:r>
              <w:rPr>
                <w:rFonts w:ascii="宋体" w:hAnsi="宋体"/>
                <w:color w:val="000000" w:themeColor="text1"/>
                <w14:textFill>
                  <w14:solidFill>
                    <w14:schemeClr w14:val="tx1"/>
                  </w14:solidFill>
                </w14:textFill>
              </w:rPr>
              <w:t>√</w:t>
            </w:r>
          </w:p>
        </w:tc>
        <w:tc>
          <w:tcPr>
            <w:tcW w:w="1073" w:type="dxa"/>
            <w:vAlign w:val="center"/>
          </w:tcPr>
          <w:p w14:paraId="080EA2AB">
            <w:pPr>
              <w:pStyle w:val="14"/>
            </w:pPr>
          </w:p>
        </w:tc>
        <w:tc>
          <w:tcPr>
            <w:tcW w:w="1073" w:type="dxa"/>
            <w:vAlign w:val="center"/>
          </w:tcPr>
          <w:p w14:paraId="314FAA05">
            <w:pPr>
              <w:pStyle w:val="14"/>
            </w:pPr>
          </w:p>
        </w:tc>
        <w:tc>
          <w:tcPr>
            <w:tcW w:w="1074" w:type="dxa"/>
            <w:tcBorders>
              <w:right w:val="single" w:color="auto" w:sz="12" w:space="0"/>
            </w:tcBorders>
            <w:vAlign w:val="center"/>
          </w:tcPr>
          <w:p w14:paraId="1150F7DE">
            <w:pPr>
              <w:pStyle w:val="14"/>
            </w:pPr>
          </w:p>
        </w:tc>
      </w:tr>
      <w:tr w14:paraId="0264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834" w:type="dxa"/>
            <w:tcBorders>
              <w:left w:val="single" w:color="auto" w:sz="12" w:space="0"/>
              <w:bottom w:val="single" w:color="auto" w:sz="12" w:space="0"/>
            </w:tcBorders>
          </w:tcPr>
          <w:p w14:paraId="32723FCE">
            <w:pPr>
              <w:pStyle w:val="14"/>
              <w:widowControl w:val="0"/>
              <w:jc w:val="left"/>
            </w:pPr>
            <w:r>
              <w:rPr>
                <w:rFonts w:hint="eastAsia" w:ascii="宋体" w:hAnsi="宋体"/>
              </w:rPr>
              <w:t xml:space="preserve">第九单元  </w:t>
            </w:r>
            <w:r>
              <w:rPr>
                <w:rFonts w:cs="Times New Roman"/>
              </w:rPr>
              <w:t>The Idiocy of Urban Life</w:t>
            </w:r>
          </w:p>
        </w:tc>
        <w:tc>
          <w:tcPr>
            <w:tcW w:w="1074" w:type="dxa"/>
            <w:tcBorders>
              <w:bottom w:val="single" w:color="auto" w:sz="12" w:space="0"/>
            </w:tcBorders>
            <w:vAlign w:val="center"/>
          </w:tcPr>
          <w:p w14:paraId="72C862DF">
            <w:pPr>
              <w:pStyle w:val="14"/>
            </w:pPr>
            <w:r>
              <w:rPr>
                <w:rFonts w:ascii="宋体" w:hAnsi="宋体"/>
                <w:color w:val="000000" w:themeColor="text1"/>
                <w14:textFill>
                  <w14:solidFill>
                    <w14:schemeClr w14:val="tx1"/>
                  </w14:solidFill>
                </w14:textFill>
              </w:rPr>
              <w:t>√</w:t>
            </w:r>
          </w:p>
        </w:tc>
        <w:tc>
          <w:tcPr>
            <w:tcW w:w="1074" w:type="dxa"/>
            <w:tcBorders>
              <w:bottom w:val="single" w:color="auto" w:sz="12" w:space="0"/>
            </w:tcBorders>
            <w:vAlign w:val="center"/>
          </w:tcPr>
          <w:p w14:paraId="360FE837">
            <w:pPr>
              <w:pStyle w:val="14"/>
            </w:pPr>
            <w:r>
              <w:rPr>
                <w:rFonts w:ascii="宋体" w:hAnsi="宋体"/>
                <w:color w:val="000000" w:themeColor="text1"/>
                <w14:textFill>
                  <w14:solidFill>
                    <w14:schemeClr w14:val="tx1"/>
                  </w14:solidFill>
                </w14:textFill>
              </w:rPr>
              <w:t>√</w:t>
            </w:r>
          </w:p>
        </w:tc>
        <w:tc>
          <w:tcPr>
            <w:tcW w:w="1074" w:type="dxa"/>
            <w:tcBorders>
              <w:bottom w:val="single" w:color="auto" w:sz="12" w:space="0"/>
            </w:tcBorders>
            <w:vAlign w:val="center"/>
          </w:tcPr>
          <w:p w14:paraId="7CF2ECC8">
            <w:pPr>
              <w:pStyle w:val="14"/>
            </w:pPr>
          </w:p>
        </w:tc>
        <w:tc>
          <w:tcPr>
            <w:tcW w:w="1073" w:type="dxa"/>
            <w:tcBorders>
              <w:bottom w:val="single" w:color="auto" w:sz="12" w:space="0"/>
            </w:tcBorders>
            <w:vAlign w:val="center"/>
          </w:tcPr>
          <w:p w14:paraId="1E4BD4C6">
            <w:pPr>
              <w:pStyle w:val="14"/>
            </w:pPr>
            <w:r>
              <w:rPr>
                <w:rFonts w:ascii="宋体" w:hAnsi="宋体"/>
                <w:color w:val="000000" w:themeColor="text1"/>
                <w14:textFill>
                  <w14:solidFill>
                    <w14:schemeClr w14:val="tx1"/>
                  </w14:solidFill>
                </w14:textFill>
              </w:rPr>
              <w:t>√</w:t>
            </w:r>
          </w:p>
        </w:tc>
        <w:tc>
          <w:tcPr>
            <w:tcW w:w="1073" w:type="dxa"/>
            <w:tcBorders>
              <w:bottom w:val="single" w:color="auto" w:sz="12" w:space="0"/>
            </w:tcBorders>
            <w:vAlign w:val="center"/>
          </w:tcPr>
          <w:p w14:paraId="0FF46B73">
            <w:pPr>
              <w:pStyle w:val="14"/>
            </w:pPr>
            <w:r>
              <w:rPr>
                <w:rFonts w:ascii="宋体" w:hAnsi="宋体"/>
                <w:color w:val="000000" w:themeColor="text1"/>
                <w14:textFill>
                  <w14:solidFill>
                    <w14:schemeClr w14:val="tx1"/>
                  </w14:solidFill>
                </w14:textFill>
              </w:rPr>
              <w:t>√</w:t>
            </w:r>
          </w:p>
        </w:tc>
        <w:tc>
          <w:tcPr>
            <w:tcW w:w="1074" w:type="dxa"/>
            <w:tcBorders>
              <w:bottom w:val="single" w:color="auto" w:sz="12" w:space="0"/>
              <w:right w:val="single" w:color="auto" w:sz="12" w:space="0"/>
            </w:tcBorders>
            <w:vAlign w:val="center"/>
          </w:tcPr>
          <w:p w14:paraId="0B582986">
            <w:pPr>
              <w:pStyle w:val="14"/>
            </w:pPr>
          </w:p>
        </w:tc>
      </w:tr>
    </w:tbl>
    <w:p w14:paraId="146B6602">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0FCC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3CFAE319">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47212FD5">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3C065741">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3E163455">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A75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6F1AFC3E">
            <w:pPr>
              <w:widowControl w:val="0"/>
              <w:snapToGrid w:val="0"/>
              <w:jc w:val="center"/>
              <w:rPr>
                <w:rFonts w:ascii="黑体" w:hAnsi="黑体" w:eastAsia="黑体"/>
                <w:bCs/>
                <w:sz w:val="21"/>
                <w:szCs w:val="21"/>
              </w:rPr>
            </w:pPr>
          </w:p>
        </w:tc>
        <w:tc>
          <w:tcPr>
            <w:tcW w:w="2690" w:type="dxa"/>
            <w:vMerge w:val="continue"/>
          </w:tcPr>
          <w:p w14:paraId="67D2374B">
            <w:pPr>
              <w:widowControl w:val="0"/>
              <w:snapToGrid w:val="0"/>
              <w:jc w:val="center"/>
              <w:rPr>
                <w:rFonts w:ascii="黑体" w:hAnsi="黑体" w:eastAsia="黑体"/>
                <w:bCs/>
                <w:sz w:val="21"/>
                <w:szCs w:val="21"/>
              </w:rPr>
            </w:pPr>
          </w:p>
        </w:tc>
        <w:tc>
          <w:tcPr>
            <w:tcW w:w="1697" w:type="dxa"/>
            <w:vMerge w:val="continue"/>
          </w:tcPr>
          <w:p w14:paraId="7DD508C2">
            <w:pPr>
              <w:widowControl w:val="0"/>
              <w:snapToGrid w:val="0"/>
              <w:jc w:val="center"/>
              <w:rPr>
                <w:rFonts w:ascii="黑体" w:hAnsi="黑体" w:eastAsia="黑体"/>
                <w:bCs/>
                <w:sz w:val="21"/>
                <w:szCs w:val="21"/>
              </w:rPr>
            </w:pPr>
          </w:p>
        </w:tc>
        <w:tc>
          <w:tcPr>
            <w:tcW w:w="708" w:type="dxa"/>
            <w:vAlign w:val="center"/>
          </w:tcPr>
          <w:p w14:paraId="27B35741">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73FFB585">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3EF9F73D">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B6E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8BAE759">
            <w:pPr>
              <w:pStyle w:val="14"/>
              <w:widowControl w:val="0"/>
              <w:jc w:val="left"/>
              <w:rPr>
                <w:bCs/>
              </w:rPr>
            </w:pPr>
            <w:r>
              <w:rPr>
                <w:rFonts w:hint="eastAsia" w:ascii="宋体" w:hAnsi="宋体"/>
                <w:bCs/>
              </w:rPr>
              <w:t xml:space="preserve">第一单元 </w:t>
            </w:r>
            <w:r>
              <w:rPr>
                <w:rFonts w:cs="Times New Roman"/>
                <w:bCs/>
              </w:rPr>
              <w:t xml:space="preserve">Never give in, Never, Never, Never </w:t>
            </w:r>
          </w:p>
        </w:tc>
        <w:tc>
          <w:tcPr>
            <w:tcW w:w="2690" w:type="dxa"/>
            <w:vAlign w:val="center"/>
          </w:tcPr>
          <w:p w14:paraId="6412C909">
            <w:pPr>
              <w:widowControl w:val="0"/>
              <w:snapToGrid w:val="0"/>
              <w:jc w:val="left"/>
              <w:rPr>
                <w:rFonts w:ascii="Times New Roman" w:hAnsi="Times New Roman"/>
                <w:bCs/>
                <w:sz w:val="21"/>
                <w:szCs w:val="21"/>
              </w:rPr>
            </w:pPr>
            <w:r>
              <w:rPr>
                <w:rFonts w:hint="eastAsia" w:ascii="Times New Roman" w:hAnsi="Times New Roman"/>
                <w:bCs/>
                <w:sz w:val="21"/>
                <w:szCs w:val="21"/>
              </w:rPr>
              <w:t>教师讲授基础语言知识，引导学生探索实践；学生根据教师指导，完成课堂语言知识学习，参与演讲口头实践。</w:t>
            </w:r>
          </w:p>
        </w:tc>
        <w:tc>
          <w:tcPr>
            <w:tcW w:w="1697" w:type="dxa"/>
            <w:vAlign w:val="center"/>
          </w:tcPr>
          <w:p w14:paraId="05E2E96B">
            <w:pPr>
              <w:widowControl w:val="0"/>
              <w:snapToGrid w:val="0"/>
              <w:jc w:val="both"/>
              <w:rPr>
                <w:rFonts w:ascii="Times New Roman" w:hAnsi="Times New Roman"/>
                <w:bCs/>
                <w:sz w:val="21"/>
                <w:szCs w:val="21"/>
              </w:rPr>
            </w:pPr>
            <w:r>
              <w:rPr>
                <w:rFonts w:hint="eastAsia" w:ascii="Times New Roman" w:hAnsi="Times New Roman"/>
                <w:bCs/>
                <w:sz w:val="21"/>
                <w:szCs w:val="21"/>
              </w:rPr>
              <w:t>课堂观察，口头评价</w:t>
            </w:r>
          </w:p>
        </w:tc>
        <w:tc>
          <w:tcPr>
            <w:tcW w:w="708" w:type="dxa"/>
            <w:vAlign w:val="center"/>
          </w:tcPr>
          <w:p w14:paraId="5C410C7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65A808E7">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0" w:type="dxa"/>
            <w:tcBorders>
              <w:right w:val="single" w:color="auto" w:sz="12" w:space="0"/>
            </w:tcBorders>
            <w:vAlign w:val="center"/>
          </w:tcPr>
          <w:p w14:paraId="5C424F4B">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14:paraId="75D6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58A9F85A">
            <w:pPr>
              <w:pStyle w:val="14"/>
              <w:widowControl w:val="0"/>
              <w:jc w:val="left"/>
              <w:rPr>
                <w:bCs/>
              </w:rPr>
            </w:pPr>
            <w:r>
              <w:rPr>
                <w:rFonts w:hint="eastAsia" w:ascii="宋体" w:hAnsi="宋体"/>
              </w:rPr>
              <w:t>第二单元</w:t>
            </w:r>
            <w:r>
              <w:rPr>
                <w:rFonts w:cs="Times New Roman"/>
              </w:rPr>
              <w:t xml:space="preserve"> Alienation and the Internet</w:t>
            </w:r>
          </w:p>
        </w:tc>
        <w:tc>
          <w:tcPr>
            <w:tcW w:w="2690" w:type="dxa"/>
            <w:vAlign w:val="center"/>
          </w:tcPr>
          <w:p w14:paraId="75308339">
            <w:pPr>
              <w:widowControl w:val="0"/>
              <w:snapToGrid w:val="0"/>
              <w:jc w:val="left"/>
              <w:rPr>
                <w:rFonts w:ascii="Times New Roman" w:hAnsi="Times New Roman"/>
                <w:bCs/>
                <w:sz w:val="21"/>
                <w:szCs w:val="21"/>
              </w:rPr>
            </w:pPr>
            <w:r>
              <w:rPr>
                <w:rFonts w:hint="eastAsia" w:ascii="Times New Roman" w:hAnsi="Times New Roman"/>
                <w:bCs/>
                <w:sz w:val="21"/>
                <w:szCs w:val="21"/>
              </w:rPr>
              <w:t>教师开展深入的文本分析与解读，提出启发性的问题链，学生结合问题把握主题，并进行课堂讨论。</w:t>
            </w:r>
          </w:p>
        </w:tc>
        <w:tc>
          <w:tcPr>
            <w:tcW w:w="1697" w:type="dxa"/>
            <w:vAlign w:val="center"/>
          </w:tcPr>
          <w:p w14:paraId="0CC85BBF">
            <w:pPr>
              <w:widowControl w:val="0"/>
              <w:snapToGrid w:val="0"/>
              <w:jc w:val="both"/>
              <w:rPr>
                <w:rFonts w:ascii="Times New Roman" w:hAnsi="Times New Roman"/>
                <w:bCs/>
                <w:sz w:val="21"/>
                <w:szCs w:val="21"/>
              </w:rPr>
            </w:pPr>
            <w:r>
              <w:rPr>
                <w:rFonts w:hint="eastAsia" w:ascii="Times New Roman" w:hAnsi="Times New Roman"/>
                <w:bCs/>
                <w:sz w:val="21"/>
                <w:szCs w:val="21"/>
              </w:rPr>
              <w:t>口头评价，课堂观察，课后作业</w:t>
            </w:r>
          </w:p>
        </w:tc>
        <w:tc>
          <w:tcPr>
            <w:tcW w:w="708" w:type="dxa"/>
            <w:vAlign w:val="center"/>
          </w:tcPr>
          <w:p w14:paraId="28F545BD">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53" w:type="dxa"/>
            <w:vAlign w:val="center"/>
          </w:tcPr>
          <w:p w14:paraId="5A4BF8C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192ADF44">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14:paraId="04BC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BD945C8">
            <w:pPr>
              <w:pStyle w:val="14"/>
              <w:widowControl w:val="0"/>
              <w:jc w:val="left"/>
              <w:rPr>
                <w:bCs/>
              </w:rPr>
            </w:pPr>
            <w:r>
              <w:rPr>
                <w:rFonts w:hint="eastAsia" w:ascii="宋体" w:hAnsi="宋体"/>
              </w:rPr>
              <w:t>第三单元</w:t>
            </w:r>
            <w:r>
              <w:rPr>
                <w:rFonts w:cs="Times New Roman"/>
              </w:rPr>
              <w:t xml:space="preserve"> A View of Mountains</w:t>
            </w:r>
          </w:p>
        </w:tc>
        <w:tc>
          <w:tcPr>
            <w:tcW w:w="2690" w:type="dxa"/>
            <w:vAlign w:val="center"/>
          </w:tcPr>
          <w:p w14:paraId="4907B3D4">
            <w:pPr>
              <w:widowControl w:val="0"/>
              <w:snapToGrid w:val="0"/>
              <w:jc w:val="left"/>
              <w:rPr>
                <w:rFonts w:ascii="Times New Roman" w:hAnsi="Times New Roman"/>
                <w:bCs/>
                <w:sz w:val="21"/>
                <w:szCs w:val="21"/>
              </w:rPr>
            </w:pPr>
            <w:r>
              <w:rPr>
                <w:rFonts w:hint="eastAsia" w:ascii="Times New Roman" w:hAnsi="Times New Roman"/>
                <w:bCs/>
                <w:sz w:val="21"/>
                <w:szCs w:val="21"/>
              </w:rPr>
              <w:t>教师开展深入的文本分析与解读，学生结合讲解深入阅读并参加课堂实践讨论。</w:t>
            </w:r>
          </w:p>
        </w:tc>
        <w:tc>
          <w:tcPr>
            <w:tcW w:w="1697" w:type="dxa"/>
            <w:vAlign w:val="center"/>
          </w:tcPr>
          <w:p w14:paraId="33DB2A77">
            <w:pPr>
              <w:widowControl w:val="0"/>
              <w:snapToGrid w:val="0"/>
              <w:jc w:val="both"/>
              <w:rPr>
                <w:rFonts w:ascii="Times New Roman" w:hAnsi="Times New Roman"/>
                <w:bCs/>
                <w:sz w:val="21"/>
                <w:szCs w:val="21"/>
              </w:rPr>
            </w:pPr>
            <w:r>
              <w:rPr>
                <w:rFonts w:hint="eastAsia" w:ascii="Times New Roman" w:hAnsi="Times New Roman"/>
                <w:bCs/>
                <w:sz w:val="21"/>
                <w:szCs w:val="21"/>
              </w:rPr>
              <w:t>口头评价，课堂观察，课后作业</w:t>
            </w:r>
          </w:p>
        </w:tc>
        <w:tc>
          <w:tcPr>
            <w:tcW w:w="708" w:type="dxa"/>
            <w:vAlign w:val="center"/>
          </w:tcPr>
          <w:p w14:paraId="7289EDE9">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53" w:type="dxa"/>
            <w:vAlign w:val="center"/>
          </w:tcPr>
          <w:p w14:paraId="2BC50F1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7863EDD5">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14:paraId="2CD7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506D49AB">
            <w:pPr>
              <w:pStyle w:val="14"/>
              <w:widowControl w:val="0"/>
              <w:jc w:val="left"/>
              <w:rPr>
                <w:bCs/>
              </w:rPr>
            </w:pPr>
            <w:r>
              <w:rPr>
                <w:rFonts w:hint="eastAsia" w:ascii="宋体" w:hAnsi="宋体"/>
              </w:rPr>
              <w:t xml:space="preserve">第四单元  </w:t>
            </w:r>
            <w:r>
              <w:rPr>
                <w:rFonts w:cs="Times New Roman"/>
              </w:rPr>
              <w:t>A French Fourth</w:t>
            </w:r>
          </w:p>
        </w:tc>
        <w:tc>
          <w:tcPr>
            <w:tcW w:w="2690" w:type="dxa"/>
            <w:vAlign w:val="center"/>
          </w:tcPr>
          <w:p w14:paraId="7EA1B97D">
            <w:pPr>
              <w:widowControl w:val="0"/>
              <w:snapToGrid w:val="0"/>
              <w:jc w:val="left"/>
              <w:rPr>
                <w:rFonts w:ascii="Times New Roman" w:hAnsi="Times New Roman"/>
                <w:bCs/>
                <w:sz w:val="21"/>
                <w:szCs w:val="21"/>
              </w:rPr>
            </w:pPr>
            <w:r>
              <w:rPr>
                <w:rFonts w:hint="eastAsia" w:ascii="Times New Roman" w:hAnsi="Times New Roman"/>
                <w:bCs/>
                <w:sz w:val="21"/>
                <w:szCs w:val="21"/>
              </w:rPr>
              <w:t>教师启发，引导学生阅读中国文化和历史书籍，并结合单元主题引导学生口语和写作实践。</w:t>
            </w:r>
          </w:p>
        </w:tc>
        <w:tc>
          <w:tcPr>
            <w:tcW w:w="1697" w:type="dxa"/>
            <w:vAlign w:val="center"/>
          </w:tcPr>
          <w:p w14:paraId="79CEEFAB">
            <w:pPr>
              <w:widowControl w:val="0"/>
              <w:snapToGrid w:val="0"/>
              <w:jc w:val="both"/>
              <w:rPr>
                <w:rFonts w:ascii="Times New Roman" w:hAnsi="Times New Roman"/>
                <w:bCs/>
                <w:sz w:val="21"/>
                <w:szCs w:val="21"/>
              </w:rPr>
            </w:pPr>
            <w:r>
              <w:rPr>
                <w:rFonts w:hint="eastAsia" w:ascii="Times New Roman" w:hAnsi="Times New Roman"/>
                <w:bCs/>
                <w:sz w:val="21"/>
                <w:szCs w:val="21"/>
              </w:rPr>
              <w:t>口头评价，课堂观察，书面报告</w:t>
            </w:r>
          </w:p>
        </w:tc>
        <w:tc>
          <w:tcPr>
            <w:tcW w:w="708" w:type="dxa"/>
            <w:vAlign w:val="center"/>
          </w:tcPr>
          <w:p w14:paraId="2D0305FF">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53" w:type="dxa"/>
            <w:vAlign w:val="center"/>
          </w:tcPr>
          <w:p w14:paraId="7D2D0C8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348244CA">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14:paraId="281C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9D16D16">
            <w:pPr>
              <w:pStyle w:val="14"/>
              <w:widowControl w:val="0"/>
              <w:jc w:val="left"/>
              <w:rPr>
                <w:rFonts w:cs="Times New Roman"/>
              </w:rPr>
            </w:pPr>
            <w:r>
              <w:rPr>
                <w:rFonts w:hint="eastAsia" w:ascii="宋体" w:hAnsi="宋体"/>
              </w:rPr>
              <w:t xml:space="preserve">第六单元  </w:t>
            </w:r>
            <w:r>
              <w:rPr>
                <w:rFonts w:cs="Times New Roman"/>
              </w:rPr>
              <w:t>The Discus Thrower</w:t>
            </w:r>
          </w:p>
          <w:p w14:paraId="0DD64571">
            <w:pPr>
              <w:pStyle w:val="14"/>
              <w:widowControl w:val="0"/>
              <w:jc w:val="left"/>
              <w:rPr>
                <w:bCs/>
              </w:rPr>
            </w:pPr>
          </w:p>
        </w:tc>
        <w:tc>
          <w:tcPr>
            <w:tcW w:w="2690" w:type="dxa"/>
            <w:vAlign w:val="center"/>
          </w:tcPr>
          <w:p w14:paraId="277AEED3">
            <w:pPr>
              <w:widowControl w:val="0"/>
              <w:snapToGrid w:val="0"/>
              <w:jc w:val="left"/>
              <w:rPr>
                <w:rFonts w:ascii="Times New Roman" w:hAnsi="Times New Roman"/>
                <w:bCs/>
                <w:sz w:val="21"/>
                <w:szCs w:val="21"/>
              </w:rPr>
            </w:pPr>
            <w:r>
              <w:rPr>
                <w:rFonts w:hint="eastAsia" w:ascii="Times New Roman" w:hAnsi="Times New Roman"/>
                <w:bCs/>
                <w:sz w:val="21"/>
                <w:szCs w:val="21"/>
              </w:rPr>
              <w:t>教师引导学习，提出思考题，布置学生阅读并回答；教师讲解语言知识，学生应运知识强化训练。</w:t>
            </w:r>
          </w:p>
        </w:tc>
        <w:tc>
          <w:tcPr>
            <w:tcW w:w="1697" w:type="dxa"/>
            <w:vAlign w:val="center"/>
          </w:tcPr>
          <w:p w14:paraId="1FDDE863">
            <w:pPr>
              <w:widowControl w:val="0"/>
              <w:snapToGrid w:val="0"/>
              <w:jc w:val="both"/>
              <w:rPr>
                <w:rFonts w:ascii="Times New Roman" w:hAnsi="Times New Roman"/>
                <w:bCs/>
                <w:sz w:val="21"/>
                <w:szCs w:val="21"/>
              </w:rPr>
            </w:pPr>
            <w:r>
              <w:rPr>
                <w:rFonts w:hint="eastAsia" w:ascii="Times New Roman" w:hAnsi="Times New Roman"/>
                <w:bCs/>
                <w:sz w:val="21"/>
                <w:szCs w:val="21"/>
              </w:rPr>
              <w:t>课堂观察，书面课后作业</w:t>
            </w:r>
          </w:p>
        </w:tc>
        <w:tc>
          <w:tcPr>
            <w:tcW w:w="708" w:type="dxa"/>
            <w:vAlign w:val="center"/>
          </w:tcPr>
          <w:p w14:paraId="096F2B7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71341E22">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0" w:type="dxa"/>
            <w:tcBorders>
              <w:right w:val="single" w:color="auto" w:sz="12" w:space="0"/>
            </w:tcBorders>
            <w:vAlign w:val="center"/>
          </w:tcPr>
          <w:p w14:paraId="35CCEEF6">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14:paraId="4652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A1E320A">
            <w:pPr>
              <w:pStyle w:val="14"/>
              <w:widowControl w:val="0"/>
              <w:jc w:val="left"/>
              <w:rPr>
                <w:bCs/>
              </w:rPr>
            </w:pPr>
            <w:r>
              <w:rPr>
                <w:rFonts w:hint="eastAsia" w:ascii="宋体" w:hAnsi="宋体"/>
              </w:rPr>
              <w:t xml:space="preserve">第九单元 </w:t>
            </w:r>
            <w:r>
              <w:rPr>
                <w:rFonts w:cs="Times New Roman"/>
              </w:rPr>
              <w:t>The Idiocy of Urban Life</w:t>
            </w:r>
          </w:p>
        </w:tc>
        <w:tc>
          <w:tcPr>
            <w:tcW w:w="2690" w:type="dxa"/>
            <w:vAlign w:val="center"/>
          </w:tcPr>
          <w:p w14:paraId="7F6BAC1A">
            <w:pPr>
              <w:widowControl w:val="0"/>
              <w:snapToGrid w:val="0"/>
              <w:jc w:val="left"/>
              <w:rPr>
                <w:rFonts w:ascii="Times New Roman" w:hAnsi="Times New Roman"/>
                <w:bCs/>
                <w:sz w:val="21"/>
                <w:szCs w:val="21"/>
              </w:rPr>
            </w:pPr>
            <w:r>
              <w:rPr>
                <w:rFonts w:hint="eastAsia" w:ascii="Times New Roman" w:hAnsi="Times New Roman"/>
                <w:bCs/>
                <w:sz w:val="21"/>
                <w:szCs w:val="21"/>
              </w:rPr>
              <w:t>教师开展深入的文本分析与解读，学生结合讲解深入阅读，并完成课后练习。</w:t>
            </w:r>
          </w:p>
        </w:tc>
        <w:tc>
          <w:tcPr>
            <w:tcW w:w="1697" w:type="dxa"/>
            <w:vAlign w:val="center"/>
          </w:tcPr>
          <w:p w14:paraId="389D507C">
            <w:pPr>
              <w:widowControl w:val="0"/>
              <w:snapToGrid w:val="0"/>
              <w:jc w:val="both"/>
              <w:rPr>
                <w:rFonts w:ascii="Times New Roman" w:hAnsi="Times New Roman"/>
                <w:bCs/>
                <w:sz w:val="21"/>
                <w:szCs w:val="21"/>
              </w:rPr>
            </w:pPr>
            <w:r>
              <w:rPr>
                <w:rFonts w:hint="eastAsia" w:ascii="Times New Roman" w:hAnsi="Times New Roman"/>
                <w:bCs/>
                <w:sz w:val="21"/>
                <w:szCs w:val="21"/>
              </w:rPr>
              <w:t>课堂观察，口头评价，课堂作业</w:t>
            </w:r>
          </w:p>
        </w:tc>
        <w:tc>
          <w:tcPr>
            <w:tcW w:w="708" w:type="dxa"/>
            <w:vAlign w:val="center"/>
          </w:tcPr>
          <w:p w14:paraId="1DE1E211">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53" w:type="dxa"/>
            <w:vAlign w:val="center"/>
          </w:tcPr>
          <w:p w14:paraId="196B12F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2E9CF1B2">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14:paraId="0E3A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73EDF220">
            <w:pPr>
              <w:pStyle w:val="13"/>
              <w:widowControl w:val="0"/>
            </w:pPr>
            <w:r>
              <w:rPr>
                <w:rFonts w:hint="eastAsia"/>
              </w:rPr>
              <w:t>合计</w:t>
            </w:r>
          </w:p>
        </w:tc>
        <w:tc>
          <w:tcPr>
            <w:tcW w:w="708" w:type="dxa"/>
            <w:tcBorders>
              <w:bottom w:val="single" w:color="auto" w:sz="12" w:space="0"/>
            </w:tcBorders>
            <w:vAlign w:val="center"/>
          </w:tcPr>
          <w:p w14:paraId="4E73E37E">
            <w:pPr>
              <w:widowControl w:val="0"/>
              <w:snapToGrid w:val="0"/>
              <w:jc w:val="center"/>
              <w:rPr>
                <w:rFonts w:ascii="Times New Roman" w:hAnsi="Times New Roman"/>
                <w:bCs/>
                <w:sz w:val="21"/>
                <w:szCs w:val="21"/>
              </w:rPr>
            </w:pPr>
            <w:r>
              <w:rPr>
                <w:rFonts w:hint="eastAsia" w:ascii="Times New Roman" w:hAnsi="Times New Roman"/>
                <w:bCs/>
                <w:sz w:val="21"/>
                <w:szCs w:val="21"/>
              </w:rPr>
              <w:t>48</w:t>
            </w:r>
          </w:p>
        </w:tc>
        <w:tc>
          <w:tcPr>
            <w:tcW w:w="653" w:type="dxa"/>
            <w:tcBorders>
              <w:bottom w:val="single" w:color="auto" w:sz="12" w:space="0"/>
            </w:tcBorders>
            <w:vAlign w:val="center"/>
          </w:tcPr>
          <w:p w14:paraId="512E0430">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c>
          <w:tcPr>
            <w:tcW w:w="700" w:type="dxa"/>
            <w:tcBorders>
              <w:bottom w:val="single" w:color="auto" w:sz="12" w:space="0"/>
              <w:right w:val="single" w:color="auto" w:sz="12" w:space="0"/>
            </w:tcBorders>
            <w:vAlign w:val="center"/>
          </w:tcPr>
          <w:p w14:paraId="53D60BCD">
            <w:pPr>
              <w:widowControl w:val="0"/>
              <w:snapToGrid w:val="0"/>
              <w:jc w:val="center"/>
              <w:rPr>
                <w:rFonts w:ascii="Times New Roman" w:hAnsi="Times New Roman"/>
                <w:bCs/>
                <w:sz w:val="21"/>
                <w:szCs w:val="21"/>
              </w:rPr>
            </w:pPr>
            <w:r>
              <w:rPr>
                <w:rFonts w:hint="eastAsia" w:ascii="Times New Roman" w:hAnsi="Times New Roman"/>
                <w:bCs/>
                <w:sz w:val="21"/>
                <w:szCs w:val="21"/>
              </w:rPr>
              <w:t>64</w:t>
            </w:r>
          </w:p>
        </w:tc>
      </w:tr>
    </w:tbl>
    <w:p w14:paraId="24804D32">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0A1D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5DB4C9C2">
            <w:pPr>
              <w:pStyle w:val="13"/>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30BB41EF">
            <w:pPr>
              <w:pStyle w:val="13"/>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50D6A070">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5E8E0DDA">
            <w:pPr>
              <w:pStyle w:val="13"/>
              <w:rPr>
                <w:szCs w:val="16"/>
              </w:rPr>
            </w:pPr>
            <w:r>
              <w:rPr>
                <w:rFonts w:hint="eastAsia"/>
                <w:szCs w:val="16"/>
              </w:rPr>
              <w:t>实验</w:t>
            </w:r>
          </w:p>
          <w:p w14:paraId="2026946A">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6A2E3950">
            <w:pPr>
              <w:pStyle w:val="13"/>
              <w:rPr>
                <w:szCs w:val="16"/>
              </w:rPr>
            </w:pPr>
            <w:r>
              <w:rPr>
                <w:rFonts w:hint="eastAsia"/>
                <w:szCs w:val="16"/>
              </w:rPr>
              <w:t>实验</w:t>
            </w:r>
          </w:p>
          <w:p w14:paraId="28501D84">
            <w:pPr>
              <w:pStyle w:val="13"/>
              <w:rPr>
                <w:szCs w:val="16"/>
              </w:rPr>
            </w:pPr>
            <w:r>
              <w:rPr>
                <w:rFonts w:hint="eastAsia"/>
                <w:szCs w:val="16"/>
              </w:rPr>
              <w:t>类型</w:t>
            </w:r>
          </w:p>
        </w:tc>
      </w:tr>
      <w:tr w14:paraId="3CFD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B1C6ED8">
            <w:pPr>
              <w:pStyle w:val="14"/>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D927747">
            <w:pPr>
              <w:pStyle w:val="14"/>
              <w:jc w:val="both"/>
            </w:pPr>
            <w:r>
              <w:rPr>
                <w:rFonts w:hint="eastAsia"/>
              </w:rPr>
              <w:t>演讲实践</w:t>
            </w:r>
          </w:p>
        </w:tc>
        <w:tc>
          <w:tcPr>
            <w:tcW w:w="4061" w:type="dxa"/>
            <w:tcBorders>
              <w:top w:val="single" w:color="auto" w:sz="4" w:space="0"/>
              <w:left w:val="single" w:color="auto" w:sz="4" w:space="0"/>
              <w:bottom w:val="single" w:color="auto" w:sz="4" w:space="0"/>
              <w:right w:val="single" w:color="auto" w:sz="4" w:space="0"/>
            </w:tcBorders>
            <w:vAlign w:val="center"/>
          </w:tcPr>
          <w:p w14:paraId="471532E5">
            <w:pPr>
              <w:pStyle w:val="14"/>
              <w:jc w:val="both"/>
            </w:pPr>
            <w:r>
              <w:rPr>
                <w:rFonts w:hint="eastAsia"/>
              </w:rPr>
              <w:t>为了训练学生的口头表达能力和演讲技巧，要求学生就主题“大学的意义”做五钟演讲，能运用排比和反复等修辞手法。</w:t>
            </w:r>
          </w:p>
        </w:tc>
        <w:tc>
          <w:tcPr>
            <w:tcW w:w="862" w:type="dxa"/>
            <w:tcBorders>
              <w:left w:val="single" w:color="auto" w:sz="4" w:space="0"/>
              <w:right w:val="single" w:color="auto" w:sz="4" w:space="0"/>
            </w:tcBorders>
            <w:shd w:val="clear" w:color="auto" w:fill="auto"/>
            <w:vAlign w:val="center"/>
          </w:tcPr>
          <w:p w14:paraId="50BC830C">
            <w:pPr>
              <w:pStyle w:val="14"/>
            </w:pPr>
            <w:r>
              <w:rPr>
                <w:rFonts w:hint="eastAsia"/>
              </w:rPr>
              <w:t>8</w:t>
            </w:r>
          </w:p>
        </w:tc>
        <w:tc>
          <w:tcPr>
            <w:tcW w:w="950" w:type="dxa"/>
            <w:tcBorders>
              <w:left w:val="single" w:color="auto" w:sz="4" w:space="0"/>
              <w:right w:val="single" w:color="auto" w:sz="12" w:space="0"/>
            </w:tcBorders>
            <w:shd w:val="clear" w:color="auto" w:fill="auto"/>
            <w:vAlign w:val="center"/>
          </w:tcPr>
          <w:p w14:paraId="60891ED7">
            <w:pPr>
              <w:pStyle w:val="14"/>
            </w:pPr>
            <w:r>
              <w:rPr>
                <w:rFonts w:hint="eastAsia"/>
              </w:rPr>
              <w:t>④</w:t>
            </w:r>
          </w:p>
        </w:tc>
      </w:tr>
      <w:tr w14:paraId="54BB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C8CFEED">
            <w:pPr>
              <w:pStyle w:val="14"/>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F5F5C73">
            <w:pPr>
              <w:pStyle w:val="14"/>
              <w:jc w:val="both"/>
            </w:pPr>
            <w:r>
              <w:rPr>
                <w:rFonts w:hint="eastAsia"/>
              </w:rPr>
              <w:t>写作实践</w:t>
            </w:r>
          </w:p>
        </w:tc>
        <w:tc>
          <w:tcPr>
            <w:tcW w:w="4061" w:type="dxa"/>
            <w:tcBorders>
              <w:top w:val="single" w:color="auto" w:sz="4" w:space="0"/>
              <w:left w:val="single" w:color="auto" w:sz="4" w:space="0"/>
              <w:bottom w:val="single" w:color="auto" w:sz="4" w:space="0"/>
              <w:right w:val="single" w:color="auto" w:sz="4" w:space="0"/>
            </w:tcBorders>
            <w:vAlign w:val="center"/>
          </w:tcPr>
          <w:p w14:paraId="12DB1AA0">
            <w:pPr>
              <w:pStyle w:val="14"/>
              <w:jc w:val="both"/>
            </w:pPr>
            <w:r>
              <w:rPr>
                <w:rFonts w:hint="eastAsia"/>
              </w:rPr>
              <w:t>为了训练学生的思辨能力和写作能力，要求学生理解课文主题，并通过阅读网络评论、书籍和杂志了解当前医患关系现状。学生根据所获得知识，写一篇300字英语议论文，论证病人的态度是否影响治疗的效果。</w:t>
            </w:r>
          </w:p>
        </w:tc>
        <w:tc>
          <w:tcPr>
            <w:tcW w:w="862" w:type="dxa"/>
            <w:tcBorders>
              <w:left w:val="single" w:color="auto" w:sz="4" w:space="0"/>
              <w:right w:val="single" w:color="auto" w:sz="4" w:space="0"/>
            </w:tcBorders>
            <w:shd w:val="clear" w:color="auto" w:fill="auto"/>
            <w:vAlign w:val="center"/>
          </w:tcPr>
          <w:p w14:paraId="3414726A">
            <w:pPr>
              <w:pStyle w:val="14"/>
            </w:pPr>
            <w:r>
              <w:rPr>
                <w:rFonts w:hint="eastAsia"/>
              </w:rPr>
              <w:t>8</w:t>
            </w:r>
          </w:p>
        </w:tc>
        <w:tc>
          <w:tcPr>
            <w:tcW w:w="950" w:type="dxa"/>
            <w:tcBorders>
              <w:left w:val="single" w:color="auto" w:sz="4" w:space="0"/>
              <w:right w:val="single" w:color="auto" w:sz="12" w:space="0"/>
            </w:tcBorders>
            <w:shd w:val="clear" w:color="auto" w:fill="auto"/>
            <w:vAlign w:val="center"/>
          </w:tcPr>
          <w:p w14:paraId="15DEC3EE">
            <w:pPr>
              <w:pStyle w:val="14"/>
            </w:pPr>
            <w:r>
              <w:rPr>
                <w:rFonts w:hint="eastAsia"/>
              </w:rPr>
              <w:t>④</w:t>
            </w:r>
          </w:p>
        </w:tc>
      </w:tr>
      <w:tr w14:paraId="3763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2EA630A3">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8BCE3B8">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4A6C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4F286F4">
            <w:pPr>
              <w:pStyle w:val="14"/>
              <w:widowControl w:val="0"/>
              <w:jc w:val="left"/>
            </w:pPr>
            <w:r>
              <w:rPr>
                <w:rFonts w:hint="eastAsia"/>
              </w:rPr>
              <w:t>本课程从以下三个方面开展思政教学。</w:t>
            </w:r>
          </w:p>
          <w:p w14:paraId="3B3AE584">
            <w:pPr>
              <w:pStyle w:val="14"/>
              <w:widowControl w:val="0"/>
              <w:jc w:val="left"/>
            </w:pPr>
            <w:r>
              <w:rPr>
                <w:rFonts w:hint="eastAsia"/>
              </w:rPr>
              <w:t xml:space="preserve">1.教学内容融合：第四册第一单元的教学文本为二战期间德国空军对英国密集空袭时，丘吉尔对英国人民发表的著名演讲“永远不要屈服，永远，永远，永远”。第四册第四单元的教学文本为“看见远方的山脉”( A View of mountains),此文以战后期美国向日本广岛和长崎接连投下两颗原子弹这一事件为背景，从核弹袭击后被袭击城市一片狼藉的老照片展开，体现“远离战争、热爱和平”的主题。在讲授这一类主题的文本时，教师可补充一些与中国历史相关的背景知识，如在第二次世界大战期间，东方战场上的中国遭受外来入侵、遭遇南京大屠杀等惨绝人寰的历史事件、中华民族团结一心取得抗日战争胜利等背景知识，它极大的增强了学生民族自尊心和自信心。 </w:t>
            </w:r>
          </w:p>
          <w:p w14:paraId="3F7C80A8">
            <w:pPr>
              <w:pStyle w:val="14"/>
              <w:widowControl w:val="0"/>
              <w:jc w:val="left"/>
            </w:pPr>
            <w:r>
              <w:rPr>
                <w:rFonts w:hint="eastAsia"/>
              </w:rPr>
              <w:t>2.文化价值观渗透：《综合英语（4）》主要是将语言教学作为基础，引入文化。课程依托英语教材中西方文化，在课堂中融入中国传统文化，发挥润物无声的作用。当学生参与语言学习时，会受到国语和英语文化的影响，判断和比较两类文化。教师引导学生以批判性思维树立价值观，升华文化层次，并加强我国的文化自信感和认同感，形成爱国主义精神。</w:t>
            </w:r>
          </w:p>
          <w:p w14:paraId="7468394A">
            <w:pPr>
              <w:pStyle w:val="14"/>
              <w:widowControl w:val="0"/>
              <w:jc w:val="left"/>
            </w:pPr>
            <w:r>
              <w:rPr>
                <w:rFonts w:hint="eastAsia"/>
              </w:rPr>
              <w:t>3.教学环境优化：《综合英语（4）》中包含听力、词汇、阅读、翻译、会话等内容，教师需要在各个环节优化渗透育人水平，为思政教育的渗透提供机会和环境，帮助学生明确文化差异，实现文化自信与认同。</w:t>
            </w:r>
          </w:p>
        </w:tc>
      </w:tr>
    </w:tbl>
    <w:p w14:paraId="4DA0A48A">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734"/>
        <w:gridCol w:w="734"/>
        <w:gridCol w:w="734"/>
        <w:gridCol w:w="736"/>
        <w:gridCol w:w="736"/>
        <w:gridCol w:w="706"/>
      </w:tblGrid>
      <w:tr w14:paraId="3F1A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0DDE4B64">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4CAD1172">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C2A7AC6">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5"/>
            <w:tcBorders>
              <w:top w:val="single" w:color="auto" w:sz="12" w:space="0"/>
              <w:left w:val="double" w:color="auto" w:sz="4" w:space="0"/>
            </w:tcBorders>
            <w:vAlign w:val="center"/>
          </w:tcPr>
          <w:p w14:paraId="1D610728">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230E0693">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D36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A6CB36E">
            <w:pPr>
              <w:widowControl w:val="0"/>
              <w:snapToGrid w:val="0"/>
              <w:jc w:val="center"/>
              <w:rPr>
                <w:rFonts w:ascii="黑体" w:hAnsi="黑体" w:eastAsia="黑体"/>
                <w:bCs/>
                <w:sz w:val="21"/>
                <w:szCs w:val="21"/>
              </w:rPr>
            </w:pPr>
          </w:p>
        </w:tc>
        <w:tc>
          <w:tcPr>
            <w:tcW w:w="709" w:type="dxa"/>
            <w:vMerge w:val="continue"/>
          </w:tcPr>
          <w:p w14:paraId="43014AD1">
            <w:pPr>
              <w:pStyle w:val="16"/>
              <w:widowControl w:val="0"/>
              <w:jc w:val="both"/>
              <w:rPr>
                <w:rFonts w:ascii="黑体" w:hAnsi="黑体"/>
                <w:bCs/>
                <w:sz w:val="21"/>
                <w:szCs w:val="21"/>
              </w:rPr>
            </w:pPr>
          </w:p>
        </w:tc>
        <w:tc>
          <w:tcPr>
            <w:tcW w:w="2353" w:type="dxa"/>
            <w:vMerge w:val="continue"/>
            <w:tcBorders>
              <w:right w:val="double" w:color="auto" w:sz="4" w:space="0"/>
            </w:tcBorders>
          </w:tcPr>
          <w:p w14:paraId="176FF68B">
            <w:pPr>
              <w:pStyle w:val="16"/>
              <w:widowControl w:val="0"/>
              <w:jc w:val="both"/>
              <w:rPr>
                <w:rFonts w:ascii="黑体" w:hAnsi="黑体"/>
                <w:bCs/>
                <w:sz w:val="21"/>
                <w:szCs w:val="21"/>
              </w:rPr>
            </w:pPr>
          </w:p>
        </w:tc>
        <w:tc>
          <w:tcPr>
            <w:tcW w:w="734" w:type="dxa"/>
            <w:tcBorders>
              <w:left w:val="double" w:color="auto" w:sz="4" w:space="0"/>
            </w:tcBorders>
            <w:vAlign w:val="center"/>
          </w:tcPr>
          <w:p w14:paraId="6D3B7E8E">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734" w:type="dxa"/>
            <w:tcBorders>
              <w:left w:val="double" w:color="auto" w:sz="4" w:space="0"/>
            </w:tcBorders>
            <w:vAlign w:val="center"/>
          </w:tcPr>
          <w:p w14:paraId="3F10EB68">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734" w:type="dxa"/>
            <w:tcBorders>
              <w:left w:val="double" w:color="auto" w:sz="4" w:space="0"/>
            </w:tcBorders>
            <w:vAlign w:val="center"/>
          </w:tcPr>
          <w:p w14:paraId="33038FDC">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734" w:type="dxa"/>
            <w:tcBorders>
              <w:left w:val="double" w:color="auto" w:sz="4" w:space="0"/>
            </w:tcBorders>
            <w:vAlign w:val="center"/>
          </w:tcPr>
          <w:p w14:paraId="4EE4A1F0">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736" w:type="dxa"/>
            <w:tcBorders>
              <w:left w:val="double" w:color="auto" w:sz="4" w:space="0"/>
            </w:tcBorders>
            <w:vAlign w:val="center"/>
          </w:tcPr>
          <w:p w14:paraId="3C37688D">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14:paraId="35A797E0">
            <w:pPr>
              <w:pStyle w:val="16"/>
              <w:widowControl w:val="0"/>
              <w:spacing w:line="240" w:lineRule="auto"/>
              <w:jc w:val="center"/>
              <w:rPr>
                <w:rFonts w:ascii="黑体" w:hAnsi="黑体"/>
                <w:bCs/>
                <w:sz w:val="21"/>
                <w:szCs w:val="21"/>
              </w:rPr>
            </w:pPr>
          </w:p>
        </w:tc>
      </w:tr>
      <w:tr w14:paraId="4C07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968C3E2">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4191F48D">
            <w:pPr>
              <w:pStyle w:val="14"/>
              <w:widowControl w:val="0"/>
            </w:pPr>
            <w:r>
              <w:rPr>
                <w:rFonts w:hint="eastAsia"/>
                <w:szCs w:val="24"/>
              </w:rPr>
              <w:t>55</w:t>
            </w:r>
            <w:r>
              <w:rPr>
                <w:szCs w:val="24"/>
              </w:rPr>
              <w:t>%</w:t>
            </w:r>
          </w:p>
        </w:tc>
        <w:tc>
          <w:tcPr>
            <w:tcW w:w="2353" w:type="dxa"/>
            <w:tcBorders>
              <w:right w:val="double" w:color="auto" w:sz="4" w:space="0"/>
            </w:tcBorders>
            <w:vAlign w:val="center"/>
          </w:tcPr>
          <w:p w14:paraId="1E848FCB">
            <w:pPr>
              <w:pStyle w:val="14"/>
              <w:widowControl w:val="0"/>
            </w:pPr>
            <w:r>
              <w:rPr>
                <w:rFonts w:hint="eastAsia"/>
                <w:szCs w:val="24"/>
              </w:rPr>
              <w:t>笔试</w:t>
            </w:r>
          </w:p>
        </w:tc>
        <w:tc>
          <w:tcPr>
            <w:tcW w:w="734" w:type="dxa"/>
            <w:tcBorders>
              <w:left w:val="double" w:color="auto" w:sz="4" w:space="0"/>
            </w:tcBorders>
            <w:vAlign w:val="center"/>
          </w:tcPr>
          <w:p w14:paraId="725A3B4A">
            <w:pPr>
              <w:pStyle w:val="14"/>
              <w:widowControl w:val="0"/>
              <w:rPr>
                <w:rFonts w:cs="Times New Roman"/>
              </w:rPr>
            </w:pPr>
            <w:r>
              <w:rPr>
                <w:rFonts w:hint="eastAsia" w:cs="Times New Roman"/>
                <w:bCs/>
              </w:rPr>
              <w:t>4</w:t>
            </w:r>
            <w:r>
              <w:rPr>
                <w:rFonts w:cs="Times New Roman"/>
                <w:bCs/>
              </w:rPr>
              <w:t>0</w:t>
            </w:r>
          </w:p>
        </w:tc>
        <w:tc>
          <w:tcPr>
            <w:tcW w:w="734" w:type="dxa"/>
            <w:tcBorders>
              <w:left w:val="double" w:color="auto" w:sz="4" w:space="0"/>
            </w:tcBorders>
            <w:vAlign w:val="center"/>
          </w:tcPr>
          <w:p w14:paraId="29AF253C">
            <w:pPr>
              <w:pStyle w:val="14"/>
              <w:widowControl w:val="0"/>
              <w:rPr>
                <w:rFonts w:cs="Times New Roman"/>
              </w:rPr>
            </w:pPr>
            <w:r>
              <w:rPr>
                <w:rFonts w:hint="eastAsia" w:cs="Times New Roman"/>
                <w:bCs/>
              </w:rPr>
              <w:t>3</w:t>
            </w:r>
            <w:r>
              <w:rPr>
                <w:rFonts w:cs="Times New Roman"/>
                <w:bCs/>
              </w:rPr>
              <w:t>0</w:t>
            </w:r>
          </w:p>
        </w:tc>
        <w:tc>
          <w:tcPr>
            <w:tcW w:w="734" w:type="dxa"/>
            <w:tcBorders>
              <w:left w:val="double" w:color="auto" w:sz="4" w:space="0"/>
            </w:tcBorders>
            <w:vAlign w:val="center"/>
          </w:tcPr>
          <w:p w14:paraId="7990883B">
            <w:pPr>
              <w:pStyle w:val="14"/>
              <w:widowControl w:val="0"/>
              <w:rPr>
                <w:rFonts w:cs="Times New Roman"/>
              </w:rPr>
            </w:pPr>
            <w:r>
              <w:rPr>
                <w:rFonts w:cs="Times New Roman"/>
                <w:bCs/>
              </w:rPr>
              <w:t>10</w:t>
            </w:r>
          </w:p>
        </w:tc>
        <w:tc>
          <w:tcPr>
            <w:tcW w:w="736" w:type="dxa"/>
            <w:tcBorders>
              <w:left w:val="double" w:color="auto" w:sz="4" w:space="0"/>
            </w:tcBorders>
            <w:vAlign w:val="center"/>
          </w:tcPr>
          <w:p w14:paraId="3115FEB5">
            <w:pPr>
              <w:pStyle w:val="14"/>
              <w:widowControl w:val="0"/>
              <w:rPr>
                <w:rFonts w:cs="Times New Roman"/>
              </w:rPr>
            </w:pPr>
            <w:r>
              <w:rPr>
                <w:rFonts w:cs="Times New Roman"/>
                <w:bCs/>
              </w:rPr>
              <w:t>10</w:t>
            </w:r>
          </w:p>
        </w:tc>
        <w:tc>
          <w:tcPr>
            <w:tcW w:w="734" w:type="dxa"/>
            <w:tcBorders>
              <w:left w:val="double" w:color="auto" w:sz="4" w:space="0"/>
            </w:tcBorders>
            <w:vAlign w:val="center"/>
          </w:tcPr>
          <w:p w14:paraId="46FA7B07">
            <w:pPr>
              <w:pStyle w:val="14"/>
              <w:widowControl w:val="0"/>
              <w:rPr>
                <w:rFonts w:cs="Times New Roman"/>
              </w:rPr>
            </w:pPr>
            <w:r>
              <w:rPr>
                <w:rFonts w:hint="eastAsia" w:cs="Times New Roman"/>
                <w:bCs/>
              </w:rPr>
              <w:t>1</w:t>
            </w:r>
            <w:r>
              <w:rPr>
                <w:rFonts w:cs="Times New Roman"/>
                <w:bCs/>
              </w:rPr>
              <w:t>0</w:t>
            </w:r>
          </w:p>
        </w:tc>
        <w:tc>
          <w:tcPr>
            <w:tcW w:w="706" w:type="dxa"/>
            <w:tcBorders>
              <w:right w:val="single" w:color="auto" w:sz="12" w:space="0"/>
            </w:tcBorders>
            <w:vAlign w:val="center"/>
          </w:tcPr>
          <w:p w14:paraId="2E1ADC91">
            <w:pPr>
              <w:pStyle w:val="14"/>
              <w:widowControl w:val="0"/>
            </w:pPr>
            <w:r>
              <w:rPr>
                <w:rFonts w:hint="eastAsia"/>
              </w:rPr>
              <w:t>1</w:t>
            </w:r>
            <w:r>
              <w:t>00</w:t>
            </w:r>
          </w:p>
        </w:tc>
      </w:tr>
      <w:tr w14:paraId="5A4E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51B01D4">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F48AFCF">
            <w:pPr>
              <w:pStyle w:val="14"/>
              <w:widowControl w:val="0"/>
            </w:pPr>
            <w:r>
              <w:rPr>
                <w:rFonts w:hint="eastAsia"/>
                <w:szCs w:val="24"/>
              </w:rPr>
              <w:t>15</w:t>
            </w:r>
            <w:r>
              <w:rPr>
                <w:szCs w:val="24"/>
              </w:rPr>
              <w:t>%</w:t>
            </w:r>
          </w:p>
        </w:tc>
        <w:tc>
          <w:tcPr>
            <w:tcW w:w="2353" w:type="dxa"/>
            <w:tcBorders>
              <w:right w:val="double" w:color="auto" w:sz="4" w:space="0"/>
            </w:tcBorders>
            <w:vAlign w:val="center"/>
          </w:tcPr>
          <w:p w14:paraId="7888FCC5">
            <w:pPr>
              <w:pStyle w:val="14"/>
              <w:widowControl w:val="0"/>
            </w:pPr>
            <w:r>
              <w:rPr>
                <w:rFonts w:hint="eastAsia"/>
                <w:szCs w:val="24"/>
              </w:rPr>
              <w:t>随堂测试</w:t>
            </w:r>
          </w:p>
        </w:tc>
        <w:tc>
          <w:tcPr>
            <w:tcW w:w="734" w:type="dxa"/>
            <w:tcBorders>
              <w:left w:val="double" w:color="auto" w:sz="4" w:space="0"/>
            </w:tcBorders>
            <w:vAlign w:val="center"/>
          </w:tcPr>
          <w:p w14:paraId="592E596A">
            <w:pPr>
              <w:pStyle w:val="14"/>
              <w:widowControl w:val="0"/>
            </w:pPr>
            <w:r>
              <w:rPr>
                <w:rFonts w:hint="eastAsia"/>
              </w:rPr>
              <w:t>50</w:t>
            </w:r>
          </w:p>
        </w:tc>
        <w:tc>
          <w:tcPr>
            <w:tcW w:w="734" w:type="dxa"/>
            <w:tcBorders>
              <w:left w:val="double" w:color="auto" w:sz="4" w:space="0"/>
            </w:tcBorders>
            <w:vAlign w:val="center"/>
          </w:tcPr>
          <w:p w14:paraId="23EBF1F7">
            <w:pPr>
              <w:pStyle w:val="14"/>
              <w:widowControl w:val="0"/>
            </w:pPr>
            <w:r>
              <w:rPr>
                <w:rFonts w:hint="eastAsia"/>
              </w:rPr>
              <w:t>30</w:t>
            </w:r>
          </w:p>
        </w:tc>
        <w:tc>
          <w:tcPr>
            <w:tcW w:w="734" w:type="dxa"/>
            <w:tcBorders>
              <w:left w:val="double" w:color="auto" w:sz="4" w:space="0"/>
            </w:tcBorders>
            <w:vAlign w:val="center"/>
          </w:tcPr>
          <w:p w14:paraId="52BFCEBC">
            <w:pPr>
              <w:pStyle w:val="14"/>
              <w:widowControl w:val="0"/>
            </w:pPr>
          </w:p>
        </w:tc>
        <w:tc>
          <w:tcPr>
            <w:tcW w:w="736" w:type="dxa"/>
            <w:tcBorders>
              <w:left w:val="double" w:color="auto" w:sz="4" w:space="0"/>
            </w:tcBorders>
            <w:vAlign w:val="center"/>
          </w:tcPr>
          <w:p w14:paraId="01FF8C1D">
            <w:pPr>
              <w:pStyle w:val="14"/>
              <w:widowControl w:val="0"/>
            </w:pPr>
            <w:r>
              <w:rPr>
                <w:rFonts w:hint="eastAsia"/>
              </w:rPr>
              <w:t>20</w:t>
            </w:r>
          </w:p>
        </w:tc>
        <w:tc>
          <w:tcPr>
            <w:tcW w:w="734" w:type="dxa"/>
            <w:tcBorders>
              <w:left w:val="double" w:color="auto" w:sz="4" w:space="0"/>
            </w:tcBorders>
            <w:vAlign w:val="center"/>
          </w:tcPr>
          <w:p w14:paraId="134F967F">
            <w:pPr>
              <w:pStyle w:val="14"/>
              <w:widowControl w:val="0"/>
            </w:pPr>
          </w:p>
        </w:tc>
        <w:tc>
          <w:tcPr>
            <w:tcW w:w="706" w:type="dxa"/>
            <w:tcBorders>
              <w:right w:val="single" w:color="auto" w:sz="12" w:space="0"/>
            </w:tcBorders>
            <w:vAlign w:val="center"/>
          </w:tcPr>
          <w:p w14:paraId="11593C4D">
            <w:pPr>
              <w:pStyle w:val="14"/>
              <w:widowControl w:val="0"/>
            </w:pPr>
            <w:r>
              <w:rPr>
                <w:rFonts w:hint="eastAsia"/>
              </w:rPr>
              <w:t>1</w:t>
            </w:r>
            <w:r>
              <w:t>00</w:t>
            </w:r>
          </w:p>
        </w:tc>
      </w:tr>
      <w:tr w14:paraId="24C3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0F1D73F">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5CF280C6">
            <w:pPr>
              <w:pStyle w:val="14"/>
              <w:widowControl w:val="0"/>
            </w:pPr>
            <w:r>
              <w:rPr>
                <w:rFonts w:hint="eastAsia"/>
                <w:szCs w:val="24"/>
              </w:rPr>
              <w:t>15</w:t>
            </w:r>
            <w:r>
              <w:rPr>
                <w:szCs w:val="24"/>
              </w:rPr>
              <w:t>%</w:t>
            </w:r>
          </w:p>
        </w:tc>
        <w:tc>
          <w:tcPr>
            <w:tcW w:w="2353" w:type="dxa"/>
            <w:tcBorders>
              <w:right w:val="double" w:color="auto" w:sz="4" w:space="0"/>
            </w:tcBorders>
            <w:vAlign w:val="center"/>
          </w:tcPr>
          <w:p w14:paraId="2801E5BC">
            <w:pPr>
              <w:pStyle w:val="14"/>
              <w:widowControl w:val="0"/>
            </w:pPr>
            <w:r>
              <w:rPr>
                <w:rFonts w:hint="eastAsia"/>
                <w:szCs w:val="24"/>
              </w:rPr>
              <w:t>随堂测试</w:t>
            </w:r>
          </w:p>
        </w:tc>
        <w:tc>
          <w:tcPr>
            <w:tcW w:w="734" w:type="dxa"/>
            <w:tcBorders>
              <w:left w:val="double" w:color="auto" w:sz="4" w:space="0"/>
            </w:tcBorders>
            <w:vAlign w:val="center"/>
          </w:tcPr>
          <w:p w14:paraId="40572102">
            <w:pPr>
              <w:pStyle w:val="14"/>
              <w:widowControl w:val="0"/>
            </w:pPr>
            <w:r>
              <w:rPr>
                <w:rFonts w:hint="eastAsia"/>
              </w:rPr>
              <w:t>50</w:t>
            </w:r>
          </w:p>
        </w:tc>
        <w:tc>
          <w:tcPr>
            <w:tcW w:w="734" w:type="dxa"/>
            <w:tcBorders>
              <w:left w:val="double" w:color="auto" w:sz="4" w:space="0"/>
            </w:tcBorders>
            <w:vAlign w:val="center"/>
          </w:tcPr>
          <w:p w14:paraId="7B386032">
            <w:pPr>
              <w:pStyle w:val="14"/>
              <w:widowControl w:val="0"/>
            </w:pPr>
            <w:r>
              <w:rPr>
                <w:rFonts w:hint="eastAsia"/>
              </w:rPr>
              <w:t>30</w:t>
            </w:r>
          </w:p>
        </w:tc>
        <w:tc>
          <w:tcPr>
            <w:tcW w:w="734" w:type="dxa"/>
            <w:tcBorders>
              <w:left w:val="double" w:color="auto" w:sz="4" w:space="0"/>
            </w:tcBorders>
            <w:vAlign w:val="center"/>
          </w:tcPr>
          <w:p w14:paraId="551C57B1">
            <w:pPr>
              <w:pStyle w:val="14"/>
              <w:widowControl w:val="0"/>
            </w:pPr>
          </w:p>
        </w:tc>
        <w:tc>
          <w:tcPr>
            <w:tcW w:w="736" w:type="dxa"/>
            <w:tcBorders>
              <w:left w:val="double" w:color="auto" w:sz="4" w:space="0"/>
            </w:tcBorders>
            <w:vAlign w:val="center"/>
          </w:tcPr>
          <w:p w14:paraId="16CCD315">
            <w:pPr>
              <w:pStyle w:val="14"/>
              <w:widowControl w:val="0"/>
            </w:pPr>
            <w:r>
              <w:rPr>
                <w:rFonts w:hint="eastAsia"/>
              </w:rPr>
              <w:t>20</w:t>
            </w:r>
          </w:p>
        </w:tc>
        <w:tc>
          <w:tcPr>
            <w:tcW w:w="734" w:type="dxa"/>
            <w:tcBorders>
              <w:left w:val="double" w:color="auto" w:sz="4" w:space="0"/>
            </w:tcBorders>
            <w:vAlign w:val="center"/>
          </w:tcPr>
          <w:p w14:paraId="1052BF5C">
            <w:pPr>
              <w:pStyle w:val="14"/>
              <w:widowControl w:val="0"/>
            </w:pPr>
          </w:p>
        </w:tc>
        <w:tc>
          <w:tcPr>
            <w:tcW w:w="706" w:type="dxa"/>
            <w:tcBorders>
              <w:right w:val="single" w:color="auto" w:sz="12" w:space="0"/>
            </w:tcBorders>
            <w:vAlign w:val="center"/>
          </w:tcPr>
          <w:p w14:paraId="30DFFA0B">
            <w:pPr>
              <w:pStyle w:val="14"/>
              <w:widowControl w:val="0"/>
            </w:pPr>
            <w:r>
              <w:rPr>
                <w:rFonts w:hint="eastAsia"/>
              </w:rPr>
              <w:t>1</w:t>
            </w:r>
            <w:r>
              <w:t>00</w:t>
            </w:r>
          </w:p>
        </w:tc>
      </w:tr>
      <w:tr w14:paraId="25963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BE189A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0D3B65A9">
            <w:pPr>
              <w:pStyle w:val="14"/>
              <w:widowControl w:val="0"/>
            </w:pPr>
            <w:r>
              <w:rPr>
                <w:rFonts w:hint="eastAsia"/>
                <w:szCs w:val="24"/>
              </w:rPr>
              <w:t>15%</w:t>
            </w:r>
          </w:p>
        </w:tc>
        <w:tc>
          <w:tcPr>
            <w:tcW w:w="2353" w:type="dxa"/>
            <w:tcBorders>
              <w:right w:val="double" w:color="auto" w:sz="4" w:space="0"/>
            </w:tcBorders>
            <w:vAlign w:val="center"/>
          </w:tcPr>
          <w:p w14:paraId="2324DD14">
            <w:pPr>
              <w:pStyle w:val="14"/>
              <w:widowControl w:val="0"/>
            </w:pPr>
            <w:r>
              <w:rPr>
                <w:rFonts w:hint="eastAsia"/>
                <w:szCs w:val="24"/>
              </w:rPr>
              <w:t>小论文</w:t>
            </w:r>
          </w:p>
        </w:tc>
        <w:tc>
          <w:tcPr>
            <w:tcW w:w="734" w:type="dxa"/>
            <w:tcBorders>
              <w:left w:val="double" w:color="auto" w:sz="4" w:space="0"/>
            </w:tcBorders>
            <w:vAlign w:val="center"/>
          </w:tcPr>
          <w:p w14:paraId="61ABA625">
            <w:pPr>
              <w:pStyle w:val="14"/>
              <w:widowControl w:val="0"/>
            </w:pPr>
          </w:p>
        </w:tc>
        <w:tc>
          <w:tcPr>
            <w:tcW w:w="734" w:type="dxa"/>
            <w:tcBorders>
              <w:left w:val="double" w:color="auto" w:sz="4" w:space="0"/>
            </w:tcBorders>
            <w:vAlign w:val="center"/>
          </w:tcPr>
          <w:p w14:paraId="5DB933D2">
            <w:pPr>
              <w:pStyle w:val="14"/>
              <w:widowControl w:val="0"/>
            </w:pPr>
          </w:p>
        </w:tc>
        <w:tc>
          <w:tcPr>
            <w:tcW w:w="734" w:type="dxa"/>
            <w:tcBorders>
              <w:left w:val="double" w:color="auto" w:sz="4" w:space="0"/>
            </w:tcBorders>
            <w:vAlign w:val="center"/>
          </w:tcPr>
          <w:p w14:paraId="76828799">
            <w:pPr>
              <w:pStyle w:val="14"/>
              <w:widowControl w:val="0"/>
            </w:pPr>
            <w:r>
              <w:rPr>
                <w:rFonts w:hint="eastAsia"/>
              </w:rPr>
              <w:t>30</w:t>
            </w:r>
          </w:p>
        </w:tc>
        <w:tc>
          <w:tcPr>
            <w:tcW w:w="736" w:type="dxa"/>
            <w:tcBorders>
              <w:left w:val="double" w:color="auto" w:sz="4" w:space="0"/>
            </w:tcBorders>
            <w:vAlign w:val="center"/>
          </w:tcPr>
          <w:p w14:paraId="04DAACE9">
            <w:pPr>
              <w:pStyle w:val="14"/>
              <w:widowControl w:val="0"/>
            </w:pPr>
            <w:r>
              <w:rPr>
                <w:rFonts w:hint="eastAsia"/>
              </w:rPr>
              <w:t>30</w:t>
            </w:r>
          </w:p>
        </w:tc>
        <w:tc>
          <w:tcPr>
            <w:tcW w:w="734" w:type="dxa"/>
            <w:tcBorders>
              <w:left w:val="double" w:color="auto" w:sz="4" w:space="0"/>
            </w:tcBorders>
            <w:vAlign w:val="center"/>
          </w:tcPr>
          <w:p w14:paraId="5AA7C8EC">
            <w:pPr>
              <w:pStyle w:val="14"/>
              <w:widowControl w:val="0"/>
            </w:pPr>
            <w:r>
              <w:rPr>
                <w:rFonts w:hint="eastAsia"/>
              </w:rPr>
              <w:t>40</w:t>
            </w:r>
          </w:p>
        </w:tc>
        <w:tc>
          <w:tcPr>
            <w:tcW w:w="706" w:type="dxa"/>
            <w:tcBorders>
              <w:right w:val="single" w:color="auto" w:sz="12" w:space="0"/>
            </w:tcBorders>
            <w:vAlign w:val="center"/>
          </w:tcPr>
          <w:p w14:paraId="41ECCB3B">
            <w:pPr>
              <w:pStyle w:val="14"/>
              <w:widowControl w:val="0"/>
            </w:pPr>
            <w:r>
              <w:rPr>
                <w:rFonts w:hint="eastAsia"/>
              </w:rPr>
              <w:t>1</w:t>
            </w:r>
            <w:r>
              <w:t>00</w:t>
            </w:r>
          </w:p>
        </w:tc>
      </w:tr>
    </w:tbl>
    <w:p w14:paraId="434766F1">
      <w:pPr>
        <w:pStyle w:val="17"/>
        <w:spacing w:before="326" w:beforeLines="100" w:after="163"/>
        <w:jc w:val="both"/>
      </w:pPr>
    </w:p>
    <w:p w14:paraId="27B27BDE">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661E0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14:paraId="68F7F128">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118A2C74">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014AD68">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4F104206">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213F766C">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7A41D3AC">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72B3DF5C">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3B9ECA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14:paraId="72AEE4C8">
            <w:pPr>
              <w:widowControl w:val="0"/>
              <w:snapToGrid w:val="0"/>
              <w:jc w:val="center"/>
              <w:rPr>
                <w:rFonts w:ascii="黑体" w:hAnsi="黑体" w:eastAsia="黑体"/>
                <w:bCs/>
                <w:sz w:val="21"/>
                <w:szCs w:val="21"/>
              </w:rPr>
            </w:pPr>
          </w:p>
        </w:tc>
        <w:tc>
          <w:tcPr>
            <w:tcW w:w="667" w:type="dxa"/>
            <w:vMerge w:val="continue"/>
          </w:tcPr>
          <w:p w14:paraId="457943BB">
            <w:pPr>
              <w:pStyle w:val="16"/>
              <w:widowControl w:val="0"/>
              <w:jc w:val="both"/>
              <w:rPr>
                <w:rFonts w:ascii="黑体" w:hAnsi="黑体"/>
                <w:bCs/>
                <w:sz w:val="21"/>
                <w:szCs w:val="21"/>
              </w:rPr>
            </w:pPr>
          </w:p>
        </w:tc>
        <w:tc>
          <w:tcPr>
            <w:tcW w:w="1445" w:type="dxa"/>
            <w:vMerge w:val="continue"/>
          </w:tcPr>
          <w:p w14:paraId="2EEEA2B8">
            <w:pPr>
              <w:pStyle w:val="16"/>
              <w:widowControl w:val="0"/>
              <w:jc w:val="both"/>
              <w:rPr>
                <w:rFonts w:ascii="黑体" w:hAnsi="黑体"/>
                <w:bCs/>
                <w:sz w:val="21"/>
                <w:szCs w:val="21"/>
              </w:rPr>
            </w:pPr>
          </w:p>
        </w:tc>
        <w:tc>
          <w:tcPr>
            <w:tcW w:w="1445" w:type="dxa"/>
            <w:vAlign w:val="center"/>
          </w:tcPr>
          <w:p w14:paraId="48770E9D">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71716E05">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7BF0FC77">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952A3A9">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776471FC">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088D048E">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10B7E965">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4E0127AD">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62F6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486DF76A">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67" w:type="dxa"/>
            <w:vAlign w:val="center"/>
          </w:tcPr>
          <w:p w14:paraId="25C9997B">
            <w:pPr>
              <w:widowControl w:val="0"/>
              <w:snapToGrid w:val="0"/>
              <w:jc w:val="center"/>
              <w:rPr>
                <w:rFonts w:ascii="Arial" w:hAnsi="Arial" w:eastAsia="黑体" w:cs="Arial"/>
                <w:bCs/>
                <w:sz w:val="21"/>
                <w:szCs w:val="21"/>
              </w:rPr>
            </w:pPr>
            <w:r>
              <w:rPr>
                <w:rFonts w:hint="eastAsia" w:ascii="Arial" w:hAnsi="Arial" w:eastAsia="黑体" w:cs="Arial"/>
                <w:bCs/>
                <w:sz w:val="21"/>
                <w:szCs w:val="21"/>
              </w:rPr>
              <w:t>1，2，3，4，5</w:t>
            </w:r>
          </w:p>
        </w:tc>
        <w:tc>
          <w:tcPr>
            <w:tcW w:w="1445" w:type="dxa"/>
          </w:tcPr>
          <w:p w14:paraId="07309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能够熟练掌握本课程所覆盖的单词和语言知识，并综合运用读、写、译等技能完成中等难度的命题。</w:t>
            </w:r>
          </w:p>
        </w:tc>
        <w:tc>
          <w:tcPr>
            <w:tcW w:w="1445" w:type="dxa"/>
          </w:tcPr>
          <w:p w14:paraId="006D586F">
            <w:pPr>
              <w:pStyle w:val="14"/>
              <w:widowControl w:val="0"/>
              <w:jc w:val="both"/>
            </w:pPr>
            <w:r>
              <w:rPr>
                <w:rFonts w:hint="eastAsia"/>
                <w:sz w:val="20"/>
                <w:szCs w:val="20"/>
              </w:rPr>
              <w:t>在试卷中，对各知识单元的掌握程度</w:t>
            </w:r>
            <w:r>
              <w:rPr>
                <w:rFonts w:hint="eastAsia"/>
                <w:position w:val="-2"/>
                <w:sz w:val="20"/>
                <w:szCs w:val="20"/>
              </w:rPr>
              <w:t>全</w:t>
            </w:r>
            <w:r>
              <w:rPr>
                <w:rFonts w:hint="eastAsia"/>
                <w:sz w:val="20"/>
                <w:szCs w:val="20"/>
              </w:rPr>
              <w:t>面达到预期学习结果，错误率在</w:t>
            </w:r>
            <w:r>
              <w:rPr>
                <w:rFonts w:ascii="TimesNewRomanPSMT" w:hAnsi="TimesNewRomanPSMT"/>
                <w:sz w:val="20"/>
                <w:szCs w:val="20"/>
              </w:rPr>
              <w:t>10%</w:t>
            </w:r>
            <w:r>
              <w:rPr>
                <w:rFonts w:hint="eastAsia"/>
                <w:sz w:val="20"/>
                <w:szCs w:val="20"/>
              </w:rPr>
              <w:t>以下。</w:t>
            </w:r>
          </w:p>
        </w:tc>
        <w:tc>
          <w:tcPr>
            <w:tcW w:w="1445" w:type="dxa"/>
          </w:tcPr>
          <w:p w14:paraId="5285B3F0">
            <w:pPr>
              <w:pStyle w:val="14"/>
              <w:widowControl w:val="0"/>
              <w:jc w:val="both"/>
            </w:pPr>
            <w:r>
              <w:rPr>
                <w:rFonts w:hint="eastAsia"/>
                <w:sz w:val="20"/>
                <w:szCs w:val="20"/>
              </w:rPr>
              <w:t>在试卷中，对各知识单元的掌握程度较好达到预期学习结果，错误率在</w:t>
            </w:r>
            <w:r>
              <w:rPr>
                <w:rFonts w:ascii="TimesNewRomanPSMT" w:hAnsi="TimesNewRomanPSMT"/>
                <w:sz w:val="20"/>
                <w:szCs w:val="20"/>
              </w:rPr>
              <w:t>20%</w:t>
            </w:r>
            <w:r>
              <w:rPr>
                <w:rFonts w:hint="eastAsia"/>
                <w:sz w:val="20"/>
                <w:szCs w:val="20"/>
              </w:rPr>
              <w:t>左右。</w:t>
            </w:r>
          </w:p>
        </w:tc>
        <w:tc>
          <w:tcPr>
            <w:tcW w:w="1445" w:type="dxa"/>
          </w:tcPr>
          <w:p w14:paraId="04BFBD70">
            <w:pPr>
              <w:pStyle w:val="14"/>
              <w:widowControl w:val="0"/>
              <w:jc w:val="both"/>
            </w:pPr>
            <w:r>
              <w:rPr>
                <w:rFonts w:hint="eastAsia"/>
                <w:sz w:val="20"/>
                <w:szCs w:val="20"/>
              </w:rPr>
              <w:t>在试卷中，对各知识单元的掌握程度</w:t>
            </w:r>
            <w:r>
              <w:rPr>
                <w:rFonts w:hint="eastAsia"/>
                <w:position w:val="-2"/>
                <w:sz w:val="20"/>
                <w:szCs w:val="20"/>
              </w:rPr>
              <w:t>基</w:t>
            </w:r>
            <w:r>
              <w:rPr>
                <w:rFonts w:hint="eastAsia"/>
                <w:sz w:val="20"/>
                <w:szCs w:val="20"/>
              </w:rPr>
              <w:t>本达到预期学习结果，错误率在</w:t>
            </w:r>
            <w:r>
              <w:rPr>
                <w:rFonts w:ascii="TimesNewRomanPSMT" w:hAnsi="TimesNewRomanPSMT"/>
                <w:sz w:val="20"/>
                <w:szCs w:val="20"/>
              </w:rPr>
              <w:t>30%</w:t>
            </w:r>
            <w:r>
              <w:rPr>
                <w:rFonts w:hint="eastAsia"/>
                <w:sz w:val="20"/>
                <w:szCs w:val="20"/>
              </w:rPr>
              <w:t>左右。</w:t>
            </w:r>
          </w:p>
        </w:tc>
        <w:tc>
          <w:tcPr>
            <w:tcW w:w="1445" w:type="dxa"/>
          </w:tcPr>
          <w:p w14:paraId="3EFEF35B">
            <w:pPr>
              <w:pStyle w:val="6"/>
              <w:widowControl/>
              <w:shd w:val="clear" w:color="auto" w:fill="FFFFFF"/>
              <w:jc w:val="both"/>
            </w:pPr>
            <w:r>
              <w:rPr>
                <w:rFonts w:hint="eastAsia"/>
                <w:sz w:val="20"/>
                <w:szCs w:val="20"/>
              </w:rPr>
              <w:t>在试卷中，对各知识单元的掌握程度达不到预期学习结果，错误率在</w:t>
            </w:r>
            <w:r>
              <w:rPr>
                <w:rFonts w:ascii="TimesNewRomanPSMT" w:hAnsi="TimesNewRomanPSMT"/>
                <w:sz w:val="20"/>
                <w:szCs w:val="20"/>
              </w:rPr>
              <w:t>40%</w:t>
            </w:r>
            <w:r>
              <w:rPr>
                <w:rFonts w:hint="eastAsia"/>
                <w:sz w:val="20"/>
                <w:szCs w:val="20"/>
              </w:rPr>
              <w:t xml:space="preserve">以上。 </w:t>
            </w:r>
          </w:p>
        </w:tc>
      </w:tr>
      <w:tr w14:paraId="7B742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1ACAEEF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2DBD140A">
            <w:pPr>
              <w:widowControl w:val="0"/>
              <w:snapToGrid w:val="0"/>
              <w:jc w:val="center"/>
              <w:rPr>
                <w:rFonts w:ascii="Arial" w:hAnsi="Arial" w:eastAsia="黑体" w:cs="Arial"/>
                <w:bCs/>
                <w:sz w:val="21"/>
                <w:szCs w:val="21"/>
              </w:rPr>
            </w:pPr>
            <w:r>
              <w:rPr>
                <w:rFonts w:hint="eastAsia" w:ascii="Arial" w:hAnsi="Arial" w:eastAsia="黑体" w:cs="Arial"/>
                <w:sz w:val="21"/>
                <w:szCs w:val="21"/>
              </w:rPr>
              <w:t>1，2，4</w:t>
            </w:r>
          </w:p>
        </w:tc>
        <w:tc>
          <w:tcPr>
            <w:tcW w:w="1445" w:type="dxa"/>
            <w:vAlign w:val="center"/>
          </w:tcPr>
          <w:p w14:paraId="7C209D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能够熟练掌握1-3单元所覆盖的单词和语言知识，能够完成中等难度的阅读，根据提示翻译句子，完成命题写作。</w:t>
            </w:r>
          </w:p>
        </w:tc>
        <w:tc>
          <w:tcPr>
            <w:tcW w:w="1445" w:type="dxa"/>
            <w:vAlign w:val="center"/>
          </w:tcPr>
          <w:p w14:paraId="060D16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在试卷中，对各知识单元的掌握程度</w:t>
            </w:r>
            <w:r>
              <w:rPr>
                <w:rFonts w:hint="eastAsia"/>
                <w:position w:val="-2"/>
                <w:sz w:val="20"/>
                <w:szCs w:val="20"/>
              </w:rPr>
              <w:t>全</w:t>
            </w:r>
            <w:r>
              <w:rPr>
                <w:rFonts w:hint="eastAsia"/>
                <w:sz w:val="20"/>
                <w:szCs w:val="20"/>
              </w:rPr>
              <w:t>面达到预期学习结果，错误率在</w:t>
            </w:r>
            <w:r>
              <w:rPr>
                <w:rFonts w:ascii="TimesNewRomanPSMT" w:hAnsi="TimesNewRomanPSMT"/>
                <w:sz w:val="20"/>
                <w:szCs w:val="20"/>
              </w:rPr>
              <w:t>10%</w:t>
            </w:r>
            <w:r>
              <w:rPr>
                <w:rFonts w:hint="eastAsia"/>
                <w:sz w:val="20"/>
                <w:szCs w:val="20"/>
              </w:rPr>
              <w:t>以下。</w:t>
            </w:r>
          </w:p>
        </w:tc>
        <w:tc>
          <w:tcPr>
            <w:tcW w:w="1445" w:type="dxa"/>
            <w:vAlign w:val="center"/>
          </w:tcPr>
          <w:p w14:paraId="47E4D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在试卷中，对各知识单元的掌握程度较好达到预期学习结果，错误率在</w:t>
            </w:r>
            <w:r>
              <w:rPr>
                <w:rFonts w:ascii="TimesNewRomanPSMT" w:hAnsi="TimesNewRomanPSMT"/>
                <w:sz w:val="20"/>
                <w:szCs w:val="20"/>
              </w:rPr>
              <w:t>20%</w:t>
            </w:r>
            <w:r>
              <w:rPr>
                <w:rFonts w:hint="eastAsia"/>
                <w:sz w:val="20"/>
                <w:szCs w:val="20"/>
              </w:rPr>
              <w:t>左右。</w:t>
            </w:r>
          </w:p>
        </w:tc>
        <w:tc>
          <w:tcPr>
            <w:tcW w:w="1445" w:type="dxa"/>
            <w:vAlign w:val="center"/>
          </w:tcPr>
          <w:p w14:paraId="2C92C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在试卷中，对各知识单元的掌握程度</w:t>
            </w:r>
            <w:r>
              <w:rPr>
                <w:rFonts w:hint="eastAsia"/>
                <w:position w:val="-2"/>
                <w:sz w:val="20"/>
                <w:szCs w:val="20"/>
              </w:rPr>
              <w:t>基</w:t>
            </w:r>
            <w:r>
              <w:rPr>
                <w:rFonts w:hint="eastAsia"/>
                <w:sz w:val="20"/>
                <w:szCs w:val="20"/>
              </w:rPr>
              <w:t>本达到预期学习结果，错误率在</w:t>
            </w:r>
            <w:r>
              <w:rPr>
                <w:rFonts w:ascii="TimesNewRomanPSMT" w:hAnsi="TimesNewRomanPSMT"/>
                <w:sz w:val="20"/>
                <w:szCs w:val="20"/>
              </w:rPr>
              <w:t>30%</w:t>
            </w:r>
            <w:r>
              <w:rPr>
                <w:rFonts w:hint="eastAsia"/>
                <w:sz w:val="20"/>
                <w:szCs w:val="20"/>
              </w:rPr>
              <w:t>左右。</w:t>
            </w:r>
          </w:p>
        </w:tc>
        <w:tc>
          <w:tcPr>
            <w:tcW w:w="1445" w:type="dxa"/>
            <w:vAlign w:val="center"/>
          </w:tcPr>
          <w:p w14:paraId="0232E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在试卷中，对各知识单元的掌握程度达不到预期学习结果，错误率在</w:t>
            </w:r>
            <w:r>
              <w:rPr>
                <w:rFonts w:ascii="TimesNewRomanPSMT" w:hAnsi="TimesNewRomanPSMT"/>
                <w:sz w:val="20"/>
                <w:szCs w:val="20"/>
              </w:rPr>
              <w:t>40%</w:t>
            </w:r>
            <w:r>
              <w:rPr>
                <w:rFonts w:hint="eastAsia"/>
                <w:sz w:val="20"/>
                <w:szCs w:val="20"/>
              </w:rPr>
              <w:t>以上。</w:t>
            </w:r>
          </w:p>
        </w:tc>
      </w:tr>
      <w:tr w14:paraId="49BB5B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2C0C39A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09C178DC">
            <w:pPr>
              <w:widowControl w:val="0"/>
              <w:snapToGrid w:val="0"/>
              <w:jc w:val="center"/>
              <w:rPr>
                <w:rFonts w:ascii="Arial" w:hAnsi="Arial" w:eastAsia="黑体" w:cs="Arial"/>
                <w:bCs/>
                <w:sz w:val="21"/>
                <w:szCs w:val="21"/>
              </w:rPr>
            </w:pPr>
            <w:r>
              <w:rPr>
                <w:rFonts w:hint="eastAsia" w:ascii="Arial" w:hAnsi="Arial" w:eastAsia="黑体" w:cs="Arial"/>
                <w:sz w:val="21"/>
                <w:szCs w:val="21"/>
              </w:rPr>
              <w:t>1，2，4</w:t>
            </w:r>
          </w:p>
        </w:tc>
        <w:tc>
          <w:tcPr>
            <w:tcW w:w="1445" w:type="dxa"/>
            <w:vAlign w:val="center"/>
          </w:tcPr>
          <w:p w14:paraId="24C81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color w:val="000000"/>
                <w:sz w:val="19"/>
                <w:szCs w:val="19"/>
              </w:rPr>
              <w:t>能够熟练掌握4-6单元所覆盖的单词和语言知识，能够完成中等难度的阅读，根据提示翻译句子，写出论点清晰</w:t>
            </w:r>
            <w:r>
              <w:rPr>
                <w:rFonts w:hint="eastAsia" w:ascii="Helvetica" w:hAnsi="Helvetica" w:cs="Helvetica" w:eastAsiaTheme="minorEastAsia"/>
                <w:color w:val="000000"/>
                <w:sz w:val="19"/>
                <w:szCs w:val="19"/>
              </w:rPr>
              <w:t>、结构规范的</w:t>
            </w:r>
            <w:r>
              <w:rPr>
                <w:rFonts w:hint="eastAsia" w:ascii="Helvetica" w:hAnsi="Helvetica" w:cs="Helvetica"/>
                <w:color w:val="000000"/>
                <w:sz w:val="19"/>
                <w:szCs w:val="19"/>
              </w:rPr>
              <w:t>议论文。</w:t>
            </w:r>
            <w:r>
              <w:rPr>
                <w:rFonts w:hint="eastAsia" w:ascii="Helvetica" w:hAnsi="Helvetica" w:cs="Helvetica" w:eastAsiaTheme="minorEastAsia"/>
                <w:color w:val="000000"/>
                <w:sz w:val="19"/>
                <w:szCs w:val="19"/>
              </w:rPr>
              <w:t>。</w:t>
            </w:r>
          </w:p>
        </w:tc>
        <w:tc>
          <w:tcPr>
            <w:tcW w:w="1445" w:type="dxa"/>
            <w:vAlign w:val="center"/>
          </w:tcPr>
          <w:p w14:paraId="24395F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在试卷中，对各知识单元的掌握程度</w:t>
            </w:r>
            <w:r>
              <w:rPr>
                <w:rFonts w:hint="eastAsia"/>
                <w:position w:val="-2"/>
                <w:sz w:val="20"/>
                <w:szCs w:val="20"/>
              </w:rPr>
              <w:t>全</w:t>
            </w:r>
            <w:r>
              <w:rPr>
                <w:rFonts w:hint="eastAsia"/>
                <w:sz w:val="20"/>
                <w:szCs w:val="20"/>
              </w:rPr>
              <w:t>面达到预期学习结果，错误率在</w:t>
            </w:r>
            <w:r>
              <w:rPr>
                <w:rFonts w:ascii="TimesNewRomanPSMT" w:hAnsi="TimesNewRomanPSMT"/>
                <w:sz w:val="20"/>
                <w:szCs w:val="20"/>
              </w:rPr>
              <w:t>10%</w:t>
            </w:r>
            <w:r>
              <w:rPr>
                <w:rFonts w:hint="eastAsia"/>
                <w:sz w:val="20"/>
                <w:szCs w:val="20"/>
              </w:rPr>
              <w:t>以下。</w:t>
            </w:r>
          </w:p>
        </w:tc>
        <w:tc>
          <w:tcPr>
            <w:tcW w:w="1445" w:type="dxa"/>
            <w:vAlign w:val="center"/>
          </w:tcPr>
          <w:p w14:paraId="165D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在试卷中，对各知识单元的掌握程度较好达到预期学习结果，错误率在</w:t>
            </w:r>
            <w:r>
              <w:rPr>
                <w:rFonts w:ascii="TimesNewRomanPSMT" w:hAnsi="TimesNewRomanPSMT"/>
                <w:sz w:val="20"/>
                <w:szCs w:val="20"/>
              </w:rPr>
              <w:t>20%</w:t>
            </w:r>
            <w:r>
              <w:rPr>
                <w:rFonts w:hint="eastAsia"/>
                <w:sz w:val="20"/>
                <w:szCs w:val="20"/>
              </w:rPr>
              <w:t>左右。</w:t>
            </w:r>
          </w:p>
        </w:tc>
        <w:tc>
          <w:tcPr>
            <w:tcW w:w="1445" w:type="dxa"/>
            <w:vAlign w:val="center"/>
          </w:tcPr>
          <w:p w14:paraId="203A13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在试卷中，对各知识单元的掌握程度</w:t>
            </w:r>
            <w:r>
              <w:rPr>
                <w:rFonts w:hint="eastAsia"/>
                <w:position w:val="-2"/>
                <w:sz w:val="20"/>
                <w:szCs w:val="20"/>
              </w:rPr>
              <w:t>基</w:t>
            </w:r>
            <w:r>
              <w:rPr>
                <w:rFonts w:hint="eastAsia"/>
                <w:sz w:val="20"/>
                <w:szCs w:val="20"/>
              </w:rPr>
              <w:t>本达到预期学习结果，错误率在</w:t>
            </w:r>
            <w:r>
              <w:rPr>
                <w:rFonts w:ascii="TimesNewRomanPSMT" w:hAnsi="TimesNewRomanPSMT"/>
                <w:sz w:val="20"/>
                <w:szCs w:val="20"/>
              </w:rPr>
              <w:t>30%</w:t>
            </w:r>
            <w:r>
              <w:rPr>
                <w:rFonts w:hint="eastAsia"/>
                <w:sz w:val="20"/>
                <w:szCs w:val="20"/>
              </w:rPr>
              <w:t>左右。</w:t>
            </w:r>
          </w:p>
        </w:tc>
        <w:tc>
          <w:tcPr>
            <w:tcW w:w="1445" w:type="dxa"/>
            <w:vAlign w:val="center"/>
          </w:tcPr>
          <w:p w14:paraId="728294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sz w:val="20"/>
                <w:szCs w:val="20"/>
              </w:rPr>
              <w:t>在试卷中，对各知识单元的掌握程度达不到预期学习结果，错误率在</w:t>
            </w:r>
            <w:r>
              <w:rPr>
                <w:rFonts w:ascii="TimesNewRomanPSMT" w:hAnsi="TimesNewRomanPSMT"/>
                <w:sz w:val="20"/>
                <w:szCs w:val="20"/>
              </w:rPr>
              <w:t>40%</w:t>
            </w:r>
            <w:r>
              <w:rPr>
                <w:rFonts w:hint="eastAsia"/>
                <w:sz w:val="20"/>
                <w:szCs w:val="20"/>
              </w:rPr>
              <w:t>以上。</w:t>
            </w:r>
          </w:p>
        </w:tc>
      </w:tr>
      <w:tr w14:paraId="13373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7939B31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14:paraId="4ED164A2">
            <w:pPr>
              <w:widowControl w:val="0"/>
              <w:snapToGrid w:val="0"/>
              <w:jc w:val="center"/>
              <w:rPr>
                <w:rFonts w:ascii="Arial" w:hAnsi="Arial" w:eastAsia="黑体" w:cs="Arial"/>
                <w:bCs/>
                <w:sz w:val="21"/>
                <w:szCs w:val="21"/>
              </w:rPr>
            </w:pPr>
            <w:r>
              <w:rPr>
                <w:rFonts w:hint="eastAsia" w:ascii="Arial" w:hAnsi="Arial" w:eastAsia="黑体" w:cs="Arial"/>
                <w:sz w:val="21"/>
                <w:szCs w:val="21"/>
              </w:rPr>
              <w:t>3，4，5</w:t>
            </w:r>
          </w:p>
        </w:tc>
        <w:tc>
          <w:tcPr>
            <w:tcW w:w="1445" w:type="dxa"/>
            <w:vAlign w:val="center"/>
          </w:tcPr>
          <w:p w14:paraId="5DC66F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19"/>
                <w:szCs w:val="19"/>
              </w:rPr>
              <w:t>要求通过阅读网络评论、书籍和杂志了解全球化对中国国文化的影响。学生根据所获得知识，写一篇200字英语议论文，论证全球化对本国文化保存带来的利弊。</w:t>
            </w:r>
          </w:p>
        </w:tc>
        <w:tc>
          <w:tcPr>
            <w:tcW w:w="1445" w:type="dxa"/>
            <w:vAlign w:val="center"/>
          </w:tcPr>
          <w:p w14:paraId="703F8C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21"/>
                <w:szCs w:val="21"/>
              </w:rPr>
              <w:t>表达思想清楚，文字通顺，连贯性较好。基本上无语言错误，</w:t>
            </w:r>
          </w:p>
        </w:tc>
        <w:tc>
          <w:tcPr>
            <w:tcW w:w="1445" w:type="dxa"/>
            <w:vAlign w:val="center"/>
          </w:tcPr>
          <w:p w14:paraId="35282A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Helvetica" w:hAnsi="Helvetica" w:cs="Helvetica" w:eastAsiaTheme="minorEastAsia"/>
                <w:color w:val="000000"/>
                <w:sz w:val="21"/>
                <w:szCs w:val="21"/>
              </w:rPr>
              <w:t>表达思路清楚，文字连贯，但有少量语言错误。</w:t>
            </w:r>
          </w:p>
        </w:tc>
        <w:tc>
          <w:tcPr>
            <w:tcW w:w="1445" w:type="dxa"/>
            <w:vAlign w:val="center"/>
          </w:tcPr>
          <w:p w14:paraId="556AFA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color w:val="000000"/>
                <w:sz w:val="21"/>
                <w:szCs w:val="21"/>
              </w:rPr>
              <w:t>有些地方表达思想不够清楚，文字勉强连贯; 语言错误相当多，其中有一些是严重错误。</w:t>
            </w:r>
          </w:p>
        </w:tc>
        <w:tc>
          <w:tcPr>
            <w:tcW w:w="1445" w:type="dxa"/>
            <w:vAlign w:val="center"/>
          </w:tcPr>
          <w:p w14:paraId="54F5A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r>
              <w:rPr>
                <w:rFonts w:hint="eastAsia" w:asciiTheme="minorEastAsia" w:hAnsiTheme="minorEastAsia" w:eastAsiaTheme="minorEastAsia" w:cstheme="minorEastAsia"/>
                <w:color w:val="000000"/>
                <w:sz w:val="21"/>
                <w:szCs w:val="21"/>
              </w:rPr>
              <w:t>表达思路不清楚，连贯性差，有较多的严重语言错误。</w:t>
            </w:r>
          </w:p>
        </w:tc>
      </w:tr>
    </w:tbl>
    <w:p w14:paraId="3A1F0B2E">
      <w:pPr>
        <w:pStyle w:val="16"/>
        <w:rPr>
          <w:rFonts w:ascii="黑体" w:hAnsi="宋体"/>
          <w:sz w:val="18"/>
          <w:szCs w:val="16"/>
        </w:rPr>
      </w:pPr>
      <w:bookmarkStart w:id="6" w:name="_GoBack"/>
      <w:bookmarkEnd w:id="6"/>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33630">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62CDB2A">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62CDB2A">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A29F58"/>
    <w:multiLevelType w:val="singleLevel"/>
    <w:tmpl w:val="EAA29F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MTZjOTY0YmM1MGJjZWQyMjJhNGU2NzcwOWIwNmQifQ=="/>
    <w:docVar w:name="KSO_WPS_MARK_KEY" w:val="386fdd35-e2ab-4f36-8207-c10255ecfcf5"/>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5832"/>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A6CC3"/>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3D6D"/>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25A76ED"/>
    <w:rsid w:val="076A1BA3"/>
    <w:rsid w:val="0A8128A6"/>
    <w:rsid w:val="0BF32A1B"/>
    <w:rsid w:val="10BD2C22"/>
    <w:rsid w:val="10C04549"/>
    <w:rsid w:val="1A6E4B66"/>
    <w:rsid w:val="1D4D1599"/>
    <w:rsid w:val="22987C80"/>
    <w:rsid w:val="22D1362D"/>
    <w:rsid w:val="24192CCC"/>
    <w:rsid w:val="25C5004B"/>
    <w:rsid w:val="27E43805"/>
    <w:rsid w:val="2C85226F"/>
    <w:rsid w:val="2C8B42A1"/>
    <w:rsid w:val="39A66CD4"/>
    <w:rsid w:val="3A5B2BCB"/>
    <w:rsid w:val="3CD52CE1"/>
    <w:rsid w:val="401A5241"/>
    <w:rsid w:val="410F2E6A"/>
    <w:rsid w:val="422F717C"/>
    <w:rsid w:val="4430136C"/>
    <w:rsid w:val="4AB0382B"/>
    <w:rsid w:val="4D176756"/>
    <w:rsid w:val="4DFC5A9A"/>
    <w:rsid w:val="50FD4962"/>
    <w:rsid w:val="51DE5786"/>
    <w:rsid w:val="54150948"/>
    <w:rsid w:val="569868B5"/>
    <w:rsid w:val="5C3E61EA"/>
    <w:rsid w:val="5C633F74"/>
    <w:rsid w:val="5E6414B2"/>
    <w:rsid w:val="611F6817"/>
    <w:rsid w:val="63585E05"/>
    <w:rsid w:val="66CA1754"/>
    <w:rsid w:val="6F1E65D4"/>
    <w:rsid w:val="6F266C86"/>
    <w:rsid w:val="6F5042C2"/>
    <w:rsid w:val="70043B37"/>
    <w:rsid w:val="71435D66"/>
    <w:rsid w:val="74316312"/>
    <w:rsid w:val="74F435D0"/>
    <w:rsid w:val="776A14CC"/>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Char"/>
    <w:basedOn w:val="9"/>
    <w:link w:val="2"/>
    <w:qFormat/>
    <w:uiPriority w:val="9"/>
    <w:rPr>
      <w:rFonts w:ascii="Calibri" w:hAnsi="Calibri" w:eastAsia="宋体" w:cs="Times New Roman"/>
      <w:b/>
      <w:bCs/>
      <w:kern w:val="44"/>
      <w:sz w:val="44"/>
      <w:szCs w:val="44"/>
    </w:rPr>
  </w:style>
  <w:style w:type="character" w:customStyle="1" w:styleId="20">
    <w:name w:val="批注文字 Char"/>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32DBE-D3BD-4B9A-85C5-2937551818BC}">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7</Pages>
  <Words>697</Words>
  <Characters>769</Characters>
  <Lines>42</Lines>
  <Paragraphs>11</Paragraphs>
  <TotalTime>1</TotalTime>
  <ScaleCrop>false</ScaleCrop>
  <LinksUpToDate>false</LinksUpToDate>
  <CharactersWithSpaces>788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今天天气真好.</cp:lastModifiedBy>
  <cp:lastPrinted>2023-11-21T00:52:00Z</cp:lastPrinted>
  <dcterms:modified xsi:type="dcterms:W3CDTF">2025-03-14T04:58:31Z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33A1672D56A54CAF8F729ACBD15FD0F3_12</vt:lpwstr>
  </property>
  <property fmtid="{D5CDD505-2E9C-101B-9397-08002B2CF9AE}" pid="4" name="KSOTemplateDocerSaveRecord">
    <vt:lpwstr>eyJoZGlkIjoiOWE3YzBmNTI5ZDlkNzdkNGQzMTc3Y2NhZjM2ZjBkMzciLCJ1c2VySWQiOiI2ODU0ODk4NDgifQ==</vt:lpwstr>
  </property>
</Properties>
</file>