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400" w:lineRule="exact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1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ascii="Times New Roman" w:hAnsi="Times New Roman" w:eastAsia="仿宋_GB2312" w:cs="Times New Roman"/>
          <w:szCs w:val="21"/>
        </w:rPr>
        <w:t>1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黑体" w:cs="Times New Roman"/>
          <w:b/>
          <w:bCs/>
          <w:szCs w:val="21"/>
        </w:rPr>
        <w:drawing>
          <wp:inline distT="0" distB="0" distL="114300" distR="114300">
            <wp:extent cx="741680" cy="307340"/>
            <wp:effectExtent l="0" t="0" r="7620" b="10160"/>
            <wp:docPr id="15" name="图片 15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什么是沟通？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知识要求：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①知道沟通的含义，理解沟通的重要性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②理解沟通的三大要素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能力要求：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①能够理解沟通的含义和重要性</w:t>
            </w:r>
          </w:p>
          <w:p>
            <w:pPr>
              <w:ind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②能够初步掌握沟通的三大要素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大学生如何理解沟通的重要性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default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1.1 什么是沟通？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20分钟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default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1.2 沟通的三大要素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20分钟</w:t>
            </w:r>
          </w:p>
          <w:p>
            <w:pPr>
              <w:tabs>
                <w:tab w:val="left" w:pos="5286"/>
              </w:tabs>
              <w:spacing w:line="288" w:lineRule="auto"/>
              <w:ind w:left="799" w:leftChars="190" w:hanging="400" w:hangingChars="200"/>
              <w:rPr>
                <w:rFonts w:hint="default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1.3 沟通的重要性及不同文化背景的商务沟通案例 “中国合伙人”案例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20分钟</w:t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1.4 大学生需要沟通吗？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20 分钟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ab/>
            </w:r>
          </w:p>
          <w:p>
            <w:pPr>
              <w:tabs>
                <w:tab w:val="left" w:pos="5286"/>
              </w:tabs>
              <w:spacing w:line="288" w:lineRule="auto"/>
              <w:ind w:firstLine="400" w:firstLineChars="200"/>
              <w:rPr>
                <w:rFonts w:hint="default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1.5 沟通技巧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20分钟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单元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商务沟通概述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仿宋_GB2312" w:cs="Times New Roman"/>
          <w:b/>
          <w:bCs/>
          <w:kern w:val="0"/>
          <w:szCs w:val="21"/>
        </w:rPr>
        <w:br w:type="page"/>
      </w: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hint="eastAsia" w:ascii="Times New Roman" w:eastAsia="仿宋_GB2312" w:cs="Times New Roman"/>
          <w:szCs w:val="21"/>
          <w:lang w:eastAsia="zh-CN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2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ascii="Times New Roman" w:hAnsi="Times New Roman" w:eastAsia="仿宋_GB2312" w:cs="Times New Roman"/>
          <w:szCs w:val="21"/>
        </w:rPr>
        <w:t>2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hint="eastAsia" w:ascii="Times New Roman" w:eastAsia="仿宋_GB2312" w:cs="Times New Roman"/>
          <w:szCs w:val="21"/>
          <w:lang w:eastAsia="zh-CN"/>
        </w:rPr>
        <w:drawing>
          <wp:inline distT="0" distB="0" distL="114300" distR="114300">
            <wp:extent cx="987425" cy="366395"/>
            <wp:effectExtent l="0" t="0" r="3175" b="1905"/>
            <wp:docPr id="16" name="图片 16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b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 w:val="0"/>
                <w:color w:val="000000"/>
                <w:sz w:val="20"/>
                <w:szCs w:val="20"/>
              </w:rPr>
              <w:t>国际</w:t>
            </w:r>
            <w:r>
              <w:rPr>
                <w:rFonts w:hint="eastAsia"/>
                <w:b/>
                <w:bCs w:val="0"/>
                <w:color w:val="000000"/>
                <w:sz w:val="20"/>
                <w:szCs w:val="20"/>
                <w:lang w:val="en-US" w:eastAsia="zh-CN"/>
              </w:rPr>
              <w:t>商务沟通及</w:t>
            </w:r>
            <w:r>
              <w:rPr>
                <w:rFonts w:hint="eastAsia"/>
                <w:b/>
                <w:bCs w:val="0"/>
                <w:color w:val="000000"/>
                <w:sz w:val="20"/>
                <w:szCs w:val="20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理解商务沟通在国际贸易中的重要性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2.1 商务沟通概述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20 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2.2 商务沟通的分类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20 分钟 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2.3 商务沟通的背景因素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20 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 商务沟通的基本策略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20 分钟</w:t>
            </w:r>
          </w:p>
          <w:p>
            <w:pPr>
              <w:spacing w:line="288" w:lineRule="auto"/>
              <w:ind w:firstLine="400" w:firstLineChars="200"/>
              <w:rPr>
                <w:rFonts w:hint="default" w:ascii="仿宋_GB2312" w:hAnsi="仿宋_GB2312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2.5 日本软银投资阿里巴巴案件分析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20 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kern w:val="1"/>
                <w:szCs w:val="21"/>
              </w:rPr>
              <w:t>分钟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第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单元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  <w:sz w:val="20"/>
                <w:szCs w:val="20"/>
              </w:rPr>
              <w:t>商务沟通的基本模型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3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ascii="Times New Roman" w:hAnsi="Times New Roman" w:eastAsia="仿宋_GB2312" w:cs="Times New Roman"/>
          <w:szCs w:val="21"/>
        </w:rPr>
        <w:t>3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134745" cy="421640"/>
            <wp:effectExtent l="0" t="0" r="8255" b="10160"/>
            <wp:docPr id="17" name="图片 17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b/>
                <w:kern w:val="1"/>
                <w:sz w:val="20"/>
                <w:szCs w:val="20"/>
              </w:rPr>
              <w:t>第</w:t>
            </w:r>
            <w:r>
              <w:rPr>
                <w:rFonts w:hint="eastAsia"/>
                <w:b/>
                <w:kern w:val="1"/>
                <w:sz w:val="20"/>
                <w:szCs w:val="20"/>
                <w:lang w:val="en-US" w:eastAsia="zh-CN"/>
              </w:rPr>
              <w:t>3</w:t>
            </w:r>
            <w:r>
              <w:rPr>
                <w:b/>
                <w:kern w:val="1"/>
                <w:sz w:val="20"/>
                <w:szCs w:val="20"/>
              </w:rPr>
              <w:t>单元</w:t>
            </w:r>
            <w:r>
              <w:rPr>
                <w:rFonts w:hint="eastAsia"/>
                <w:b/>
                <w:bCs w:val="0"/>
                <w:color w:val="000000"/>
                <w:sz w:val="20"/>
                <w:szCs w:val="20"/>
              </w:rPr>
              <w:t>商务沟通的基本模型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如何提高在商务沟通中的质量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3.1 商务沟通的基本模型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20分钟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3.2 谈判中沟通哪些内容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20分钟     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3.3 谈判中人们如何进行沟通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20分钟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3.4 谈判中如果提高沟通质量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20分钟</w:t>
            </w:r>
          </w:p>
          <w:p>
            <w:pPr>
              <w:spacing w:line="288" w:lineRule="auto"/>
              <w:ind w:firstLine="400" w:firstLineChars="200"/>
              <w:rPr>
                <w:rFonts w:hint="default" w:ascii="仿宋_GB2312" w:hAnsi="仿宋_GB2312" w:eastAsia="仿宋_GB2312" w:cs="宋体"/>
                <w:kern w:val="1"/>
                <w:szCs w:val="21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3.5 案例分析                        20 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第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szCs w:val="20"/>
              </w:rPr>
              <w:t>单元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>不同文化背景的商务沟通案例分析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4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hint="eastAsia" w:ascii="Times New Roman" w:eastAsia="仿宋_GB2312" w:cs="Times New Roman"/>
          <w:szCs w:val="21"/>
        </w:rPr>
        <w:t>4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127125" cy="394335"/>
            <wp:effectExtent l="0" t="0" r="3175" b="12065"/>
            <wp:docPr id="18" name="图片 18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第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szCs w:val="20"/>
              </w:rPr>
              <w:t>单元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>不同文化背景的商务沟通案例分析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理解不同文化背景沟通的难度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4.1 不同文化背景的商务沟通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35分钟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4.2 不同国家的商务沟通风格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35分钟</w:t>
            </w:r>
          </w:p>
          <w:p>
            <w:pPr>
              <w:spacing w:line="288" w:lineRule="auto"/>
              <w:ind w:firstLine="400" w:firstLineChars="200"/>
              <w:rPr>
                <w:rFonts w:ascii="仿宋_GB2312" w:hAnsi="仿宋_GB2312" w:eastAsia="仿宋_GB2312" w:cs="宋体"/>
                <w:kern w:val="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4.3 不同文化理念的商务谈判案例分析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30分钟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ind w:left="420" w:hanging="420"/>
              <w:jc w:val="left"/>
              <w:rPr>
                <w:b/>
                <w:kern w:val="1"/>
                <w:sz w:val="20"/>
                <w:szCs w:val="20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 xml:space="preserve">5单元 中美之间沟通的两种叙述和案例分析  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hint="eastAsia" w:ascii="Times New Roman" w:eastAsia="仿宋_GB2312" w:cs="Times New Roman"/>
          <w:szCs w:val="21"/>
          <w:lang w:eastAsia="zh-CN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5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hAnsi="Times New Roman" w:eastAsia="仿宋_GB2312" w:cs="Times New Roman"/>
          <w:szCs w:val="21"/>
        </w:rPr>
        <w:t>5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hint="eastAsia" w:ascii="Times New Roman" w:eastAsia="仿宋_GB2312" w:cs="Times New Roman"/>
          <w:szCs w:val="21"/>
          <w:lang w:eastAsia="zh-CN"/>
        </w:rPr>
        <w:drawing>
          <wp:inline distT="0" distB="0" distL="114300" distR="114300">
            <wp:extent cx="1086485" cy="403860"/>
            <wp:effectExtent l="0" t="0" r="5715" b="2540"/>
            <wp:docPr id="19" name="图片 19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ind w:leftChars="0"/>
              <w:jc w:val="left"/>
              <w:rPr>
                <w:b/>
                <w:kern w:val="1"/>
                <w:sz w:val="20"/>
                <w:szCs w:val="20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>5单元 中美之间沟通的两种叙述和案例分析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理解中美贸易是全球最重要的贸易关系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5.1  中美之间的商务沟通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40 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5.2 中美之间有截然不同的两种叙事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30 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5.3 中美贸易的现状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30 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360" w:right="-50"/>
              <w:rPr>
                <w:rFonts w:ascii="仿宋_GB2312" w:hAnsi="仿宋_GB2312" w:eastAsia="仿宋_GB2312" w:cs="宋体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ind w:leftChars="0"/>
              <w:jc w:val="left"/>
              <w:rPr>
                <w:b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 xml:space="preserve">单元 不同文化背景的商务案例分析  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6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6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094740" cy="407035"/>
            <wp:effectExtent l="0" t="0" r="10160" b="12065"/>
            <wp:docPr id="20" name="图片 20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ind w:leftChars="0"/>
              <w:jc w:val="left"/>
              <w:rPr>
                <w:b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 xml:space="preserve">单元 不同文化背景的商务案例分析  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理解不同文化背景沟通的难度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6.1 不同文化背景的商务沟通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25分钟</w:t>
            </w: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6.2 不同文化背景的商务案例 “姚明”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25分钟</w:t>
            </w: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6.3 不同文化理念的商务收购案例“万达收购西班牙大厦”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25分钟</w:t>
            </w:r>
          </w:p>
          <w:p>
            <w:pPr>
              <w:spacing w:line="288" w:lineRule="auto"/>
              <w:ind w:left="426"/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6.4 不同文化理念的商务并购案例“福耀美国”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25分钟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>第7单元 交际风格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7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7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070610" cy="398145"/>
            <wp:effectExtent l="0" t="0" r="8890" b="8255"/>
            <wp:docPr id="23" name="图片 23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20"/>
                <w:szCs w:val="20"/>
              </w:rPr>
              <w:t>第7单元 交际风格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把握合适的交际风格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7.1 理解强语境文化和弱语境文化的基本概念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35分钟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7.2 理解不同文化背景人的交际风格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35分钟</w:t>
            </w:r>
          </w:p>
          <w:p>
            <w:pPr>
              <w:spacing w:line="288" w:lineRule="auto"/>
              <w:ind w:firstLine="400" w:firstLineChars="200"/>
              <w:rPr>
                <w:rFonts w:hint="default" w:eastAsia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7.3 自我测试     P90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30 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360" w:right="-50"/>
              <w:rPr>
                <w:rFonts w:ascii="仿宋_GB2312" w:hAnsi="仿宋_GB2312" w:eastAsia="仿宋_GB2312" w:cs="宋体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第8单元 跨文化冲突管理及东西方思维模式沟通案例分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8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8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039495" cy="386715"/>
            <wp:effectExtent l="0" t="0" r="1905" b="6985"/>
            <wp:docPr id="24" name="图片 24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第8单元 跨文化冲突管理及东西方思维模式沟通案例分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hint="eastAsia" w:ascii="Times New Roman" w:hAnsi="Times New Roman" w:cs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.</w:t>
            </w:r>
            <w:r>
              <w:rPr>
                <w:rFonts w:hint="eastAsia"/>
                <w:b w:val="0"/>
                <w:bCs/>
                <w:color w:val="000000"/>
                <w:kern w:val="0"/>
                <w:sz w:val="20"/>
                <w:szCs w:val="20"/>
              </w:rPr>
              <w:t>理解东西方文化差异对沟通的影响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8.1 理解产生冲突的根源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20分钟</w:t>
            </w: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8.2 东西方文化风俗习惯对冲突的不同理解和态度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20分钟</w:t>
            </w: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8.3 中西方家庭价值观不同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20分钟</w:t>
            </w: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8.4 有效沟通案例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20分钟</w:t>
            </w:r>
          </w:p>
          <w:p>
            <w:pPr>
              <w:spacing w:line="288" w:lineRule="auto"/>
              <w:ind w:left="426"/>
              <w:rPr>
                <w:rFonts w:hint="default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8.5 自我测试及分析练习   P169--173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20分钟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第9单元 德国人的价值观和文化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9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9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067435" cy="396875"/>
            <wp:effectExtent l="0" t="0" r="12065" b="9525"/>
            <wp:docPr id="25" name="图片 25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第9单元 德国人的价值观和文化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理解德国人的价值观和文化背景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9.1 德国人的价值观        35 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9.2 德国人的精神文化      35分钟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9.3 与德国商务沟通技巧和案例  30分钟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第10单元 价值观与交际  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沟通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10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10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997585" cy="370840"/>
            <wp:effectExtent l="0" t="0" r="5715" b="10160"/>
            <wp:docPr id="26" name="图片 26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第10单元 价值观与交际  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沟通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理解价值观在沟通中的影响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ind w:left="-50" w:right="-50"/>
              <w:rPr>
                <w:rFonts w:hint="default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10.1 什么是价值观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 w:eastAsia="zh-CN"/>
              </w:rPr>
              <w:t xml:space="preserve">                 25分钟</w:t>
            </w:r>
          </w:p>
          <w:p>
            <w:pPr>
              <w:ind w:left="-50" w:right="-50"/>
              <w:rPr>
                <w:rFonts w:hint="default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10.2 阿里巴巴的价值观分析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 w:eastAsia="zh-CN"/>
              </w:rPr>
              <w:t xml:space="preserve">         25分钟</w:t>
            </w:r>
          </w:p>
          <w:p>
            <w:pPr>
              <w:ind w:left="-50" w:right="-50"/>
              <w:rPr>
                <w:rFonts w:hint="default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10.3 沟通过程中如何受个人价值观的影响案例分析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 w:eastAsia="zh-CN"/>
              </w:rPr>
              <w:t xml:space="preserve">   25分钟</w:t>
            </w:r>
          </w:p>
          <w:p>
            <w:pPr>
              <w:ind w:left="-50" w:right="-50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10.4 自我检测与分析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 w:eastAsia="zh-CN"/>
              </w:rPr>
              <w:t xml:space="preserve">               25分钟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40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有效沟通成功案例分析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11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11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001395" cy="372110"/>
            <wp:effectExtent l="0" t="0" r="1905" b="8890"/>
            <wp:docPr id="27" name="图片 27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有效沟通成功案例分析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理解自身的沟通障碍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ind w:left="-50" w:right="-5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 w:eastAsia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11.1 历史上有效沟通成功案例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     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 w:eastAsia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11.2 中国高铁成功引进谈判案例分析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 w:eastAsia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11.3 失败沟通案例分析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            40分钟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ind w:leftChars="0"/>
              <w:jc w:val="left"/>
              <w:rPr>
                <w:rFonts w:hint="eastAsia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 xml:space="preserve">第12单元 有效沟通案例分析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400" w:lineRule="exact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 xml:space="preserve">12 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12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hint="eastAsia" w:ascii="Times New Roman" w:hAnsi="Times New Roman" w:eastAsia="仿宋_GB2312" w:cs="Times New Roman"/>
          <w:bCs/>
          <w:szCs w:val="21"/>
          <w:lang w:eastAsia="zh-CN"/>
        </w:rPr>
        <w:drawing>
          <wp:inline distT="0" distB="0" distL="114300" distR="114300">
            <wp:extent cx="842645" cy="313690"/>
            <wp:effectExtent l="0" t="0" r="8255" b="3810"/>
            <wp:docPr id="28" name="图片 28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ind w:left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 xml:space="preserve">第12单元 有效沟通案例分析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理解如何同美国人进行商务沟通的重要性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12.1 欧洲杯中国企业广告     35分钟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12.2 杜嘉班纳广告案例分析   35分钟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12.3 有效沟通案例分析 （安家）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30分钟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-5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Review the key points taught in this period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Do exercises in next chapter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第13单元 美国人的价值观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13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13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929005" cy="345440"/>
            <wp:effectExtent l="0" t="0" r="10795" b="10160"/>
            <wp:docPr id="29" name="图片 29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第13单元 美国人的价值观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理解如何同美国人进行商务沟通的重要性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hint="eastAsia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13.1 美国人的价值观               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13.2 美国人的价值观是如何形成的   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13.3 如何同美国人进行商务沟通      40分钟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Review the key points taught in this period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Do exercises in next chapter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第14单元 理解日本人的文化与行为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国际商务沟通  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14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14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965835" cy="358775"/>
            <wp:effectExtent l="0" t="0" r="12065" b="9525"/>
            <wp:docPr id="30" name="图片 30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第14单元 理解日本人的文化与行为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理解日本人的价值观和文化背景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14.1 日本核心价值体系的主要内容  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14.2 日本人的精神文化            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14.3 与日本人商务沟通技巧和案例    40分钟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第15元单元 话语权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15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15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1007745" cy="374650"/>
            <wp:effectExtent l="0" t="0" r="8255" b="6350"/>
            <wp:docPr id="31" name="图片 31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第15元单元 话语权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eastAsia="仿宋_GB2312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理解话语权的国际地位和重要性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ind w:left="-50" w:right="-50"/>
              <w:rPr>
                <w:rFonts w:hint="eastAsia" w:ascii="Times New Roman" w:hAnsi="Times New Roman" w:cs="Times New Roman"/>
                <w:b/>
                <w:szCs w:val="21"/>
              </w:rPr>
            </w:pP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15.1 什么是话语权？                 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15.2 中国在国际平台上的话语权        30分钟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15.3 如何争取更多的话语权            40分钟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Review the key points taught in this period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Do exercises in next chapter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ind w:leftChars="0"/>
              <w:jc w:val="left"/>
              <w:rPr>
                <w:b w:val="0"/>
                <w:bCs w:val="0"/>
                <w:color w:val="000000"/>
                <w:kern w:val="1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第16元单元 复习 自我检测与分析  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eastAsia="黑体" w:cs="Times New Roman"/>
          <w:b/>
          <w:bCs/>
          <w:szCs w:val="21"/>
        </w:rPr>
        <w:t>上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海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建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桥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学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eastAsia="黑体" w:cs="Times New Roman"/>
          <w:b/>
          <w:bCs/>
          <w:szCs w:val="21"/>
        </w:rPr>
        <w:t>院</w:t>
      </w:r>
    </w:p>
    <w:p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国际商务沟通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cs="Times New Roman"/>
          <w:szCs w:val="21"/>
        </w:rPr>
        <w:t>课程教案</w:t>
      </w:r>
    </w:p>
    <w:p>
      <w:pPr>
        <w:spacing w:beforeLines="50" w:line="240" w:lineRule="auto"/>
        <w:rPr>
          <w:rFonts w:ascii="Times New Roman" w:eastAsia="仿宋_GB2312" w:cs="Times New Roman"/>
          <w:szCs w:val="21"/>
        </w:rPr>
      </w:pPr>
      <w:r>
        <w:rPr>
          <w:rFonts w:ascii="Times New Roman" w:eastAsia="仿宋_GB2312" w:cs="Times New Roman"/>
          <w:szCs w:val="21"/>
        </w:rPr>
        <w:t>周次</w:t>
      </w:r>
      <w:r>
        <w:rPr>
          <w:rFonts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</w:rPr>
        <w:t>16</w:t>
      </w:r>
      <w:r>
        <w:rPr>
          <w:rFonts w:ascii="Times New Roman" w:hAnsi="Times New Roman" w:eastAsia="仿宋_GB2312" w:cs="Times New Roman"/>
          <w:szCs w:val="21"/>
        </w:rPr>
        <w:t xml:space="preserve">  </w:t>
      </w:r>
      <w:r>
        <w:rPr>
          <w:rFonts w:ascii="Times New Roman" w:eastAsia="仿宋_GB2312" w:cs="Times New Roman"/>
          <w:szCs w:val="21"/>
        </w:rPr>
        <w:t>第</w:t>
      </w:r>
      <w:r>
        <w:rPr>
          <w:rFonts w:hint="eastAsia" w:ascii="Times New Roman" w:eastAsia="仿宋_GB2312" w:cs="Times New Roman"/>
          <w:szCs w:val="21"/>
        </w:rPr>
        <w:t>16</w:t>
      </w:r>
      <w:r>
        <w:rPr>
          <w:rFonts w:ascii="Times New Roman" w:eastAsia="仿宋_GB2312" w:cs="Times New Roman"/>
          <w:szCs w:val="21"/>
        </w:rPr>
        <w:t>次课</w:t>
      </w:r>
      <w:r>
        <w:rPr>
          <w:rFonts w:ascii="Times New Roman" w:hAnsi="Times New Roman" w:eastAsia="仿宋_GB2312" w:cs="Times New Roman"/>
          <w:szCs w:val="21"/>
        </w:rPr>
        <w:t xml:space="preserve">   </w:t>
      </w:r>
      <w:r>
        <w:rPr>
          <w:rFonts w:ascii="Times New Roman" w:eastAsia="仿宋_GB2312" w:cs="Times New Roman"/>
          <w:szCs w:val="21"/>
        </w:rPr>
        <w:t>学时</w:t>
      </w:r>
      <w:r>
        <w:rPr>
          <w:rFonts w:ascii="Times New Roman" w:hAnsi="Times New Roman" w:eastAsia="仿宋_GB2312" w:cs="Times New Roman"/>
          <w:szCs w:val="21"/>
        </w:rPr>
        <w:t xml:space="preserve"> 2               </w:t>
      </w:r>
      <w:r>
        <w:rPr>
          <w:rFonts w:ascii="Times New Roman" w:eastAsia="仿宋_GB2312" w:cs="Times New Roman"/>
          <w:szCs w:val="21"/>
        </w:rPr>
        <w:t>教案撰写人：</w:t>
      </w:r>
      <w:r>
        <w:rPr>
          <w:rFonts w:ascii="Times New Roman" w:eastAsia="仿宋_GB2312" w:cs="Times New Roman"/>
          <w:szCs w:val="21"/>
        </w:rPr>
        <w:drawing>
          <wp:inline distT="0" distB="0" distL="114300" distR="114300">
            <wp:extent cx="984250" cy="365760"/>
            <wp:effectExtent l="0" t="0" r="6350" b="2540"/>
            <wp:docPr id="32" name="图片 32" descr="扫描_20181120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扫描_20181120 (2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00" w:lineRule="exact"/>
        <w:rPr>
          <w:rFonts w:ascii="Times New Roman" w:hAnsi="Times New Roman" w:eastAsia="仿宋_GB2312" w:cs="Times New Roman"/>
          <w:snapToGrid w:val="0"/>
          <w:kern w:val="0"/>
          <w:szCs w:val="21"/>
          <w:u w:val="single"/>
        </w:rPr>
      </w:pP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ind w:left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第16元单元 复习 自我检测与分析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本次授课目的与要求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了解中西文化差异和跨文化的理论知识，具备较强的文化沟通能力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能够运用所学的理论知识和相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关国际惯例，结合实务中的可能发生的相关纠纷，判断情况并能够独立解决一些基本的问题。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国际商务谈判能力：能够在平等互利的基础上，通过不同渠道搜集客户信息，运用一定谈判策略和谈判技巧，争取合作条件，达到双方满意的目的。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教学设计思路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①知道并了解商务沟通的基本概念，分类和主要因素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②理解商务沟通的基本要素和策略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能力要求：</w:t>
            </w:r>
          </w:p>
          <w:p>
            <w:pPr>
              <w:spacing w:line="288" w:lineRule="auto"/>
              <w:ind w:firstLine="400" w:firstLineChars="200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①能够运用课上的理论知识分析商务沟通的重要性</w:t>
            </w:r>
          </w:p>
          <w:p>
            <w:pPr>
              <w:ind w:left="-50" w:right="-50" w:firstLine="400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②能够初步掌握商务沟通的基本策略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o memorize ways of expressions of relevant terms in English and apply them in description of China.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o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understand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the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meaning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and methods of protection of cultural heritage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（可添页）</w:t>
            </w:r>
          </w:p>
          <w:p>
            <w:pPr>
              <w:ind w:left="-50" w:right="-50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Content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教材作业和习题练习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P 110--116       25分钟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P 141--144       25分钟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P 211--214       25分钟</w:t>
            </w:r>
          </w:p>
          <w:p>
            <w:pPr>
              <w:snapToGrid w:val="0"/>
              <w:spacing w:line="288" w:lineRule="auto"/>
              <w:ind w:right="26" w:firstLine="400" w:firstLineChars="200"/>
              <w:rPr>
                <w:rFonts w:hint="default" w:eastAsia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P 226--234       25分钟</w:t>
            </w:r>
          </w:p>
          <w:p>
            <w:pPr>
              <w:ind w:left="360" w:right="-50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 xml:space="preserve">小结：                                             </w:t>
            </w:r>
          </w:p>
          <w:p>
            <w:pPr>
              <w:ind w:left="4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———————————————————————————-    合计：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1"/>
                <w:szCs w:val="21"/>
              </w:rPr>
              <w:t>0</w:t>
            </w:r>
            <w:r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1"/>
                <w:szCs w:val="21"/>
              </w:rPr>
              <w:t>分钟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Teaching Methods and Means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Analysis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Discussion; 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Multi-media</w:t>
            </w: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Review the key points taught in this period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eastAsia="仿宋_GB2312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ind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0"/>
          <w:szCs w:val="44"/>
        </w:rPr>
      </w:pPr>
    </w:p>
    <w:sectPr>
      <w:footerReference r:id="rId3" w:type="default"/>
      <w:footerReference r:id="rId4" w:type="even"/>
      <w:pgSz w:w="11906" w:h="16838"/>
      <w:pgMar w:top="113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70309020205020404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8002C"/>
    <w:multiLevelType w:val="multilevel"/>
    <w:tmpl w:val="5D28002C"/>
    <w:lvl w:ilvl="0" w:tentative="0">
      <w:start w:val="1"/>
      <w:numFmt w:val="bullet"/>
      <w:lvlText w:val=""/>
      <w:lvlJc w:val="left"/>
      <w:rPr>
        <w:rFonts w:ascii="Wingdings" w:hAnsi="Wingdings"/>
      </w:rPr>
    </w:lvl>
    <w:lvl w:ilvl="1" w:tentative="0">
      <w:start w:val="1"/>
      <w:numFmt w:val="bullet"/>
      <w:lvlText w:val=""/>
      <w:lvlJc w:val="left"/>
      <w:rPr>
        <w:rFonts w:ascii="Wingdings" w:hAnsi="Wingdings"/>
      </w:rPr>
    </w:lvl>
    <w:lvl w:ilvl="2" w:tentative="0">
      <w:start w:val="1"/>
      <w:numFmt w:val="bullet"/>
      <w:lvlText w:val=""/>
      <w:lvlJc w:val="left"/>
      <w:rPr>
        <w:rFonts w:ascii="Wingdings" w:hAnsi="Wingdings"/>
      </w:rPr>
    </w:lvl>
    <w:lvl w:ilvl="3" w:tentative="0">
      <w:start w:val="1"/>
      <w:numFmt w:val="bullet"/>
      <w:lvlText w:val=""/>
      <w:lvlJc w:val="left"/>
      <w:rPr>
        <w:rFonts w:ascii="Wingdings" w:hAnsi="Wingdings"/>
      </w:rPr>
    </w:lvl>
    <w:lvl w:ilvl="4" w:tentative="0">
      <w:start w:val="1"/>
      <w:numFmt w:val="bullet"/>
      <w:lvlText w:val=""/>
      <w:lvlJc w:val="left"/>
      <w:rPr>
        <w:rFonts w:ascii="Wingdings" w:hAnsi="Wingdings"/>
      </w:rPr>
    </w:lvl>
    <w:lvl w:ilvl="5" w:tentative="0">
      <w:start w:val="1"/>
      <w:numFmt w:val="bullet"/>
      <w:lvlText w:val=""/>
      <w:lvlJc w:val="left"/>
      <w:rPr>
        <w:rFonts w:ascii="Wingdings" w:hAnsi="Wingdings"/>
      </w:rPr>
    </w:lvl>
    <w:lvl w:ilvl="6" w:tentative="0">
      <w:start w:val="1"/>
      <w:numFmt w:val="bullet"/>
      <w:lvlText w:val=""/>
      <w:lvlJc w:val="left"/>
      <w:rPr>
        <w:rFonts w:ascii="Wingdings" w:hAnsi="Wingdings"/>
      </w:rPr>
    </w:lvl>
    <w:lvl w:ilvl="7" w:tentative="0">
      <w:start w:val="1"/>
      <w:numFmt w:val="bullet"/>
      <w:lvlText w:val=""/>
      <w:lvlJc w:val="left"/>
      <w:rPr>
        <w:rFonts w:ascii="Wingdings" w:hAnsi="Wingdings"/>
      </w:rPr>
    </w:lvl>
    <w:lvl w:ilvl="8" w:tentative="0">
      <w:start w:val="1"/>
      <w:numFmt w:val="bullet"/>
      <w:lvlText w:val="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6CF"/>
    <w:rsid w:val="00007889"/>
    <w:rsid w:val="00056555"/>
    <w:rsid w:val="000611B1"/>
    <w:rsid w:val="00073CBF"/>
    <w:rsid w:val="0008620C"/>
    <w:rsid w:val="00096A7A"/>
    <w:rsid w:val="000A7AFE"/>
    <w:rsid w:val="000D685C"/>
    <w:rsid w:val="000E03A7"/>
    <w:rsid w:val="000F6215"/>
    <w:rsid w:val="001027C0"/>
    <w:rsid w:val="00131A8D"/>
    <w:rsid w:val="00134EA8"/>
    <w:rsid w:val="00143362"/>
    <w:rsid w:val="00146025"/>
    <w:rsid w:val="001506E7"/>
    <w:rsid w:val="00154744"/>
    <w:rsid w:val="00162E7F"/>
    <w:rsid w:val="0016516B"/>
    <w:rsid w:val="0017116B"/>
    <w:rsid w:val="00177D3F"/>
    <w:rsid w:val="0019547C"/>
    <w:rsid w:val="00196B3F"/>
    <w:rsid w:val="001C070E"/>
    <w:rsid w:val="001F19D9"/>
    <w:rsid w:val="001F2350"/>
    <w:rsid w:val="001F4240"/>
    <w:rsid w:val="002067F8"/>
    <w:rsid w:val="00224F73"/>
    <w:rsid w:val="0023693C"/>
    <w:rsid w:val="00243E28"/>
    <w:rsid w:val="0025662D"/>
    <w:rsid w:val="002959B0"/>
    <w:rsid w:val="002C3E54"/>
    <w:rsid w:val="002C6D9D"/>
    <w:rsid w:val="002F1F27"/>
    <w:rsid w:val="002F3AFB"/>
    <w:rsid w:val="002F68CC"/>
    <w:rsid w:val="002F6BCD"/>
    <w:rsid w:val="0032073F"/>
    <w:rsid w:val="00346D1D"/>
    <w:rsid w:val="00357F5C"/>
    <w:rsid w:val="00370A82"/>
    <w:rsid w:val="003752F9"/>
    <w:rsid w:val="00396FC9"/>
    <w:rsid w:val="003D0AA3"/>
    <w:rsid w:val="00403BC8"/>
    <w:rsid w:val="00407A53"/>
    <w:rsid w:val="00433F86"/>
    <w:rsid w:val="004827EA"/>
    <w:rsid w:val="004C6196"/>
    <w:rsid w:val="004D6088"/>
    <w:rsid w:val="0051344B"/>
    <w:rsid w:val="005318FC"/>
    <w:rsid w:val="00532E76"/>
    <w:rsid w:val="00556A2C"/>
    <w:rsid w:val="00586DCF"/>
    <w:rsid w:val="00593A6E"/>
    <w:rsid w:val="005A2FCD"/>
    <w:rsid w:val="005A5DB0"/>
    <w:rsid w:val="005D57CC"/>
    <w:rsid w:val="005E6CEA"/>
    <w:rsid w:val="005F0748"/>
    <w:rsid w:val="00610478"/>
    <w:rsid w:val="00615090"/>
    <w:rsid w:val="00631934"/>
    <w:rsid w:val="00631DF3"/>
    <w:rsid w:val="00633ED0"/>
    <w:rsid w:val="006345C5"/>
    <w:rsid w:val="00666C87"/>
    <w:rsid w:val="00691520"/>
    <w:rsid w:val="006A0800"/>
    <w:rsid w:val="006B2D83"/>
    <w:rsid w:val="006C1811"/>
    <w:rsid w:val="006C2A06"/>
    <w:rsid w:val="006C660C"/>
    <w:rsid w:val="006D289C"/>
    <w:rsid w:val="00703BF4"/>
    <w:rsid w:val="007061B8"/>
    <w:rsid w:val="00774976"/>
    <w:rsid w:val="007E009B"/>
    <w:rsid w:val="00804885"/>
    <w:rsid w:val="00896518"/>
    <w:rsid w:val="008A240D"/>
    <w:rsid w:val="008B14FE"/>
    <w:rsid w:val="008D211E"/>
    <w:rsid w:val="00901FA6"/>
    <w:rsid w:val="00943796"/>
    <w:rsid w:val="00981C46"/>
    <w:rsid w:val="00984542"/>
    <w:rsid w:val="00992D15"/>
    <w:rsid w:val="009B0714"/>
    <w:rsid w:val="009B41FD"/>
    <w:rsid w:val="009E35FB"/>
    <w:rsid w:val="009F45B0"/>
    <w:rsid w:val="00A1767D"/>
    <w:rsid w:val="00A25105"/>
    <w:rsid w:val="00A4212A"/>
    <w:rsid w:val="00A90E30"/>
    <w:rsid w:val="00AC2510"/>
    <w:rsid w:val="00B06787"/>
    <w:rsid w:val="00B10320"/>
    <w:rsid w:val="00B13AD2"/>
    <w:rsid w:val="00B35B7C"/>
    <w:rsid w:val="00B54B68"/>
    <w:rsid w:val="00B7418F"/>
    <w:rsid w:val="00BA0AB8"/>
    <w:rsid w:val="00BC2529"/>
    <w:rsid w:val="00BF6914"/>
    <w:rsid w:val="00C01090"/>
    <w:rsid w:val="00C539AB"/>
    <w:rsid w:val="00C72D71"/>
    <w:rsid w:val="00CD2D76"/>
    <w:rsid w:val="00CD4EAB"/>
    <w:rsid w:val="00CE717B"/>
    <w:rsid w:val="00D13280"/>
    <w:rsid w:val="00D261DF"/>
    <w:rsid w:val="00D45A1C"/>
    <w:rsid w:val="00D60ED5"/>
    <w:rsid w:val="00D97CDB"/>
    <w:rsid w:val="00DB401A"/>
    <w:rsid w:val="00DE1289"/>
    <w:rsid w:val="00E171E8"/>
    <w:rsid w:val="00E545C6"/>
    <w:rsid w:val="00E736CF"/>
    <w:rsid w:val="00EC3B2C"/>
    <w:rsid w:val="00F12CA3"/>
    <w:rsid w:val="00F13FE6"/>
    <w:rsid w:val="00F6597C"/>
    <w:rsid w:val="00F71930"/>
    <w:rsid w:val="00F743B4"/>
    <w:rsid w:val="00FC0E74"/>
    <w:rsid w:val="00FC7EB9"/>
    <w:rsid w:val="00FD6CDF"/>
    <w:rsid w:val="00FE4E5B"/>
    <w:rsid w:val="00FF17E3"/>
    <w:rsid w:val="00FF2168"/>
    <w:rsid w:val="09CD71D2"/>
    <w:rsid w:val="0B2B585F"/>
    <w:rsid w:val="0F617E76"/>
    <w:rsid w:val="109B4923"/>
    <w:rsid w:val="15494B15"/>
    <w:rsid w:val="16901CA0"/>
    <w:rsid w:val="17D648FC"/>
    <w:rsid w:val="19E5017C"/>
    <w:rsid w:val="1D804E97"/>
    <w:rsid w:val="1DCA0965"/>
    <w:rsid w:val="1E9F70B1"/>
    <w:rsid w:val="23E177A0"/>
    <w:rsid w:val="2B2C5906"/>
    <w:rsid w:val="31F02427"/>
    <w:rsid w:val="327A7593"/>
    <w:rsid w:val="33C61883"/>
    <w:rsid w:val="3438180B"/>
    <w:rsid w:val="3478387D"/>
    <w:rsid w:val="3E3D54DE"/>
    <w:rsid w:val="3EFF2A66"/>
    <w:rsid w:val="420A6089"/>
    <w:rsid w:val="45A03076"/>
    <w:rsid w:val="49EF25A1"/>
    <w:rsid w:val="4A7A462B"/>
    <w:rsid w:val="4E0468A0"/>
    <w:rsid w:val="4E474B6E"/>
    <w:rsid w:val="53BD0AB6"/>
    <w:rsid w:val="60330211"/>
    <w:rsid w:val="62DE2102"/>
    <w:rsid w:val="6475243C"/>
    <w:rsid w:val="6F2A2387"/>
    <w:rsid w:val="7274479D"/>
    <w:rsid w:val="76847E5B"/>
    <w:rsid w:val="7838321B"/>
    <w:rsid w:val="7CC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2247</Words>
  <Characters>12814</Characters>
  <Lines>106</Lines>
  <Paragraphs>30</Paragraphs>
  <TotalTime>9</TotalTime>
  <ScaleCrop>false</ScaleCrop>
  <LinksUpToDate>false</LinksUpToDate>
  <CharactersWithSpaces>15031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2020-09-09T03:14:00Z</dcterms:created>
  <dc:creator>jq-jwc-1</dc:creator>
  <cp:lastModifiedBy>贾庭建</cp:lastModifiedBy>
  <dcterms:modified xsi:type="dcterms:W3CDTF">2021-09-23T02:28:18Z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7C0893A342D34C9BB8B3C2A585D75C3D</vt:lpwstr>
  </property>
</Properties>
</file>