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28"/>
        </w:rPr>
        <w:t>日本文化礼仪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eastAsia="MS Mincho"/>
          <w:b/>
          <w:sz w:val="28"/>
          <w:szCs w:val="30"/>
          <w:lang w:eastAsia="ja-JP"/>
        </w:rPr>
        <w:t>Japanese cultural etiquette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 w:eastAsia="MS Mincho"/>
          <w:color w:val="000000"/>
          <w:sz w:val="20"/>
          <w:szCs w:val="20"/>
          <w:lang w:eastAsia="ja-JP"/>
        </w:rPr>
        <w:t>2020303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日语专业本科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rFonts w:hint="eastAsia" w:ascii="MS Mincho" w:hAnsi="MS Mincho" w:eastAsia="MS Mincho"/>
          <w:color w:val="000000"/>
          <w:sz w:val="20"/>
          <w:szCs w:val="20"/>
        </w:rPr>
        <w:t>/</w:t>
      </w:r>
      <w:r>
        <w:rPr>
          <w:rFonts w:hint="eastAsia" w:ascii="宋体" w:hAnsi="宋体" w:cs="宋体"/>
          <w:color w:val="000000"/>
          <w:sz w:val="20"/>
          <w:szCs w:val="20"/>
        </w:rPr>
        <w:t>专业</w:t>
      </w:r>
      <w:r>
        <w:rPr>
          <w:rFonts w:hint="eastAsia" w:ascii="MS Mincho" w:hAnsi="MS Mincho" w:eastAsia="MS Mincho" w:cs="MS Mincho"/>
          <w:color w:val="000000"/>
          <w:sz w:val="20"/>
          <w:szCs w:val="20"/>
        </w:rPr>
        <w:t>限</w:t>
      </w:r>
      <w:r>
        <w:rPr>
          <w:rFonts w:hint="eastAsia" w:ascii="宋体" w:hAnsi="宋体" w:cs="宋体"/>
          <w:color w:val="000000"/>
          <w:sz w:val="20"/>
          <w:szCs w:val="20"/>
        </w:rPr>
        <w:t>选课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外国语学院日语系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《职场日本语 商务礼仪篇》</w:t>
      </w:r>
      <w:r>
        <w:rPr>
          <w:rFonts w:hint="eastAsia" w:eastAsia="MS Mincho"/>
          <w:color w:val="000000"/>
          <w:sz w:val="20"/>
          <w:szCs w:val="20"/>
        </w:rPr>
        <w:t>釜渕</w:t>
      </w:r>
      <w:r>
        <w:rPr>
          <w:rFonts w:hint="eastAsia" w:eastAsiaTheme="minorEastAsia"/>
          <w:color w:val="000000"/>
          <w:sz w:val="20"/>
          <w:szCs w:val="20"/>
        </w:rPr>
        <w:t>优</w:t>
      </w:r>
      <w:r>
        <w:rPr>
          <w:rFonts w:hint="eastAsia" w:eastAsia="MS Mincho"/>
          <w:color w:val="000000"/>
          <w:sz w:val="20"/>
          <w:szCs w:val="20"/>
        </w:rPr>
        <w:t>子</w:t>
      </w:r>
      <w:r>
        <w:rPr>
          <w:rFonts w:hint="eastAsia"/>
          <w:color w:val="000000"/>
          <w:sz w:val="20"/>
          <w:szCs w:val="20"/>
        </w:rPr>
        <w:t xml:space="preserve"> 上海译文出版社 ISBN978-7-5327-6674-1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《中国人与日本人》钟有祥 中外书局 ISBN978-7-5192-</w:t>
      </w:r>
      <w:r>
        <w:rPr>
          <w:rFonts w:hint="eastAsia" w:eastAsia="MS Mincho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323-</w:t>
      </w:r>
      <w:r>
        <w:rPr>
          <w:rFonts w:hint="eastAsia" w:eastAsia="MS Mincho"/>
          <w:color w:val="000000"/>
          <w:sz w:val="20"/>
          <w:szCs w:val="20"/>
        </w:rPr>
        <w:t>4</w:t>
      </w:r>
    </w:p>
    <w:p>
      <w:pPr>
        <w:snapToGrid w:val="0"/>
        <w:spacing w:line="288" w:lineRule="auto"/>
        <w:ind w:left="840" w:leftChars="400"/>
        <w:rPr>
          <w:color w:val="000000"/>
          <w:sz w:val="20"/>
          <w:szCs w:val="20"/>
          <w:lang w:eastAsia="ja-JP"/>
        </w:rPr>
      </w:pPr>
      <w:r>
        <w:rPr>
          <w:rFonts w:hint="eastAsia" w:ascii="MS Mincho" w:hAnsi="MS Mincho" w:eastAsia="MS Mincho"/>
          <w:color w:val="000000"/>
          <w:sz w:val="20"/>
          <w:szCs w:val="20"/>
          <w:lang w:eastAsia="ja-JP"/>
        </w:rPr>
        <w:t>『大人のマナー講座』日本マナープロトコル協会著</w:t>
      </w:r>
      <w:r>
        <w:rPr>
          <w:rFonts w:hint="eastAsia"/>
          <w:color w:val="000000"/>
          <w:sz w:val="20"/>
          <w:szCs w:val="20"/>
          <w:lang w:eastAsia="ja-JP"/>
        </w:rPr>
        <w:t xml:space="preserve"> </w:t>
      </w:r>
      <w:r>
        <w:rPr>
          <w:rFonts w:hint="eastAsia" w:ascii="MS Mincho" w:hAnsi="MS Mincho" w:eastAsia="MS Mincho"/>
          <w:color w:val="000000"/>
          <w:sz w:val="20"/>
          <w:szCs w:val="20"/>
          <w:lang w:eastAsia="ja-JP"/>
        </w:rPr>
        <w:t>PHP出版</w:t>
      </w:r>
      <w:r>
        <w:rPr>
          <w:rFonts w:hint="eastAsia"/>
          <w:color w:val="000000"/>
          <w:sz w:val="20"/>
          <w:szCs w:val="20"/>
          <w:lang w:eastAsia="ja-JP"/>
        </w:rPr>
        <w:t xml:space="preserve"> ISBN</w:t>
      </w:r>
      <w:r>
        <w:rPr>
          <w:color w:val="000000"/>
          <w:sz w:val="20"/>
          <w:szCs w:val="20"/>
          <w:lang w:eastAsia="ja-JP"/>
        </w:rPr>
        <w:t>978</w:t>
      </w:r>
      <w:r>
        <w:rPr>
          <w:rFonts w:hint="eastAsia"/>
          <w:color w:val="000000"/>
          <w:sz w:val="20"/>
          <w:szCs w:val="20"/>
          <w:lang w:eastAsia="ja-JP"/>
        </w:rPr>
        <w:t>-</w:t>
      </w:r>
      <w:r>
        <w:rPr>
          <w:color w:val="000000"/>
          <w:sz w:val="20"/>
          <w:szCs w:val="20"/>
          <w:lang w:eastAsia="ja-JP"/>
        </w:rPr>
        <w:t>4</w:t>
      </w:r>
      <w:r>
        <w:rPr>
          <w:rFonts w:hint="eastAsia"/>
          <w:color w:val="000000"/>
          <w:sz w:val="20"/>
          <w:szCs w:val="20"/>
          <w:lang w:eastAsia="ja-JP"/>
        </w:rPr>
        <w:t>-5</w:t>
      </w:r>
      <w:r>
        <w:rPr>
          <w:rFonts w:hint="eastAsia" w:eastAsia="MS Mincho"/>
          <w:color w:val="000000"/>
          <w:sz w:val="20"/>
          <w:szCs w:val="20"/>
          <w:lang w:eastAsia="ja-JP"/>
        </w:rPr>
        <w:t>6</w:t>
      </w:r>
      <w:r>
        <w:rPr>
          <w:rFonts w:eastAsia="MS Mincho"/>
          <w:color w:val="000000"/>
          <w:sz w:val="20"/>
          <w:szCs w:val="20"/>
          <w:lang w:eastAsia="ja-JP"/>
        </w:rPr>
        <w:t>9</w:t>
      </w:r>
      <w:r>
        <w:rPr>
          <w:rFonts w:hint="eastAsia"/>
          <w:color w:val="000000"/>
          <w:sz w:val="20"/>
          <w:szCs w:val="20"/>
          <w:lang w:eastAsia="ja-JP"/>
        </w:rPr>
        <w:t>-79</w:t>
      </w:r>
      <w:r>
        <w:rPr>
          <w:color w:val="000000"/>
          <w:sz w:val="20"/>
          <w:szCs w:val="20"/>
          <w:lang w:eastAsia="ja-JP"/>
        </w:rPr>
        <w:t>594</w:t>
      </w:r>
      <w:r>
        <w:rPr>
          <w:rFonts w:hint="eastAsia"/>
          <w:color w:val="000000"/>
          <w:sz w:val="20"/>
          <w:szCs w:val="20"/>
          <w:lang w:eastAsia="ja-JP"/>
        </w:rPr>
        <w:t>-</w:t>
      </w:r>
      <w:r>
        <w:rPr>
          <w:color w:val="000000"/>
          <w:sz w:val="20"/>
          <w:szCs w:val="20"/>
          <w:lang w:eastAsia="ja-JP"/>
        </w:rPr>
        <w:t>2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《我看日本30年》马吴生 上海文艺出版社 ISBN978-5321-</w:t>
      </w:r>
      <w:r>
        <w:rPr>
          <w:rFonts w:hint="eastAsia" w:eastAsia="MS Mincho"/>
          <w:color w:val="000000"/>
          <w:sz w:val="20"/>
          <w:szCs w:val="20"/>
        </w:rPr>
        <w:t>64</w:t>
      </w:r>
      <w:r>
        <w:rPr>
          <w:rFonts w:hint="eastAsia"/>
          <w:color w:val="000000"/>
          <w:sz w:val="20"/>
          <w:szCs w:val="20"/>
        </w:rPr>
        <w:t>5</w:t>
      </w:r>
      <w:r>
        <w:rPr>
          <w:rFonts w:hint="eastAsia" w:eastAsia="MS Mincho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-71-5158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（因为无完整的教材，使用的教材由教师编写，所以没有网站。）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470" w:firstLineChars="196"/>
        <w:rPr>
          <w:rFonts w:ascii="黑体" w:hAnsi="宋体" w:eastAsia="黑体"/>
          <w:sz w:val="24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hint="eastAsia"/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中日两国的文化范畴的比较性研究，包括中日两国的语言习惯、风俗习惯、风土人情、思维方法、行为礼仪等各个方面。日本文化受古代的中国文化的影响颇深，因此日本文化与中国文化比较接近。近代以后，日本文化受欧美文化的影响比较大，所以现代日本人与现代中国人的文化产生了不少异同。本课程根据中日文化的异同作出了一些比较，使学习日语的学生能够了解中日文化的区别，对语言学习有一定的帮助。本课程以中日两国的里应外合方面的差异为重点，进行了分析和比较，使学生能够理解中日礼仪文化的差异，做到取长补短、修身养心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本课程的教授对象是日语专业的大三学生，因为文化是语言的基础，因此学习中日文化的比较，能够加深对日本的了解、对日语的了解、对日本文化的各个领域的了解，进而提高日语水平。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本课程适合以日语为主要学习课程的学生</w:t>
      </w:r>
      <w:r>
        <w:rPr>
          <w:rFonts w:hint="eastAsia" w:ascii="MS Mincho" w:hAnsi="MS Mincho" w:eastAsia="MS Mincho"/>
          <w:color w:val="000000"/>
          <w:sz w:val="20"/>
          <w:szCs w:val="20"/>
        </w:rPr>
        <w:t>。</w:t>
      </w:r>
      <w:r>
        <w:rPr>
          <w:rFonts w:hint="eastAsia"/>
          <w:color w:val="000000"/>
          <w:sz w:val="20"/>
          <w:szCs w:val="20"/>
        </w:rPr>
        <w:t>学习当该课程的学生必需具有一定的日语基础知识，以二、三年级的学生为宜。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LO111倾听他人意见、尊重他人观点、分析他人需求。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LO112应用书面或口头形式，阐释自己的观点，有效沟通。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LO211能根据需要自己确定学习目标，并设计学习计划。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L0411遵纪守法：遵守校纪校规，具备法律意识。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L0412 诚实守信：为人诚实，信守承诺，尽职尽责。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LO414身心健康，能承受学习和生活中的压力。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L0512 有质疑精神，能有逻辑的分析与批判。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L0513 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L0514了解行业前沿知识技术。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LO611能够根据需要进行专业文献检索。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LO613熟练使用计算机，掌握常用办公软件。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widowControl/>
        <w:spacing w:before="156" w:beforeLines="50" w:after="156" w:afterLines="50" w:line="288" w:lineRule="auto"/>
        <w:jc w:val="left"/>
        <w:rPr>
          <w:rFonts w:hint="eastAsia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eastAsiaTheme="minorEastAsia"/>
          <w:sz w:val="20"/>
          <w:szCs w:val="20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4"/>
              </w:rPr>
              <w:t>LO112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</w:rPr>
              <w:t>具备书面和语言能力，善于与他人沟通。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作业</w:t>
            </w:r>
          </w:p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书面考试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4"/>
              </w:rPr>
              <w:t>LO331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4"/>
              </w:rPr>
              <w:t>LO332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4"/>
              </w:rPr>
              <w:t>掌握中日礼仪差异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作业</w:t>
            </w:r>
          </w:p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书面考试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4"/>
              </w:rPr>
              <w:t>理解中日文化差异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作业</w:t>
            </w:r>
          </w:p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书面考试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4"/>
              </w:rPr>
              <w:t>提高文化交际能力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作业</w:t>
            </w:r>
          </w:p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书面考试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LO711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了解祖国传统文化，热爱祖国。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作业</w:t>
            </w:r>
          </w:p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书面考试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具备助人为乐的爱心，懂得感恩。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作业</w:t>
            </w:r>
          </w:p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书面考试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本课程总课时为32学时，每个单元各为8学时。教师的授课和学生的讨论包括在内。课外作业的时间不包括在内。</w:t>
      </w:r>
    </w:p>
    <w:p>
      <w:pPr>
        <w:snapToGrid w:val="0"/>
        <w:spacing w:line="288" w:lineRule="auto"/>
        <w:jc w:val="center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课程内容和能力要求极其重点等一览表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95"/>
        <w:gridCol w:w="1830"/>
        <w:gridCol w:w="2205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79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课时</w:t>
            </w:r>
          </w:p>
        </w:tc>
        <w:tc>
          <w:tcPr>
            <w:tcW w:w="183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授课内容</w:t>
            </w:r>
          </w:p>
        </w:tc>
        <w:tc>
          <w:tcPr>
            <w:tcW w:w="220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知识和能力的要求</w:t>
            </w:r>
          </w:p>
        </w:tc>
        <w:tc>
          <w:tcPr>
            <w:tcW w:w="297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教学重点和难点列举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日常生活中的礼仪</w:t>
            </w:r>
          </w:p>
        </w:tc>
        <w:tc>
          <w:tcPr>
            <w:tcW w:w="220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要求学生理解中日两国民众在生活中礼仪的差异，举办与日本人交往的能力。</w:t>
            </w:r>
          </w:p>
        </w:tc>
        <w:tc>
          <w:tcPr>
            <w:tcW w:w="2971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用实例说明中日两国民众在日常生活的理由的差异，分析差异产生的原因。使学生在行为、举止方面吸收好的做法，关键落实到行动中。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79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工作和交往的礼仪</w:t>
            </w:r>
          </w:p>
        </w:tc>
        <w:tc>
          <w:tcPr>
            <w:tcW w:w="220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使学生了解工作和人际交往过程中的各种礼仪的差异，提升个人的工作能力和人际交往能力。</w:t>
            </w:r>
          </w:p>
        </w:tc>
        <w:tc>
          <w:tcPr>
            <w:tcW w:w="2971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日本社会是等级社会，而中国是比较平等的社会。分析两国社会现状的历史原因和社会原因等。使学生在以后的留学生活和工作中能够处理与中国不同的社会关系。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79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衣食住行的差异</w:t>
            </w:r>
          </w:p>
        </w:tc>
        <w:tc>
          <w:tcPr>
            <w:tcW w:w="220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这是中日文化差异的一个部分。要求学生理解中日两国民众在衣食住行方面的差异，取长补短，提高个人素质。</w:t>
            </w:r>
          </w:p>
        </w:tc>
        <w:tc>
          <w:tcPr>
            <w:tcW w:w="2971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人们在衣食住行方面的习惯、习性是长期养成的，要改变自己的行为、习性是痛苦的。需要用实例进行分析，人学生明白个人素质的重要性。落实到个人的行为、举止上是比较困难的。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风俗习惯的差异</w:t>
            </w:r>
          </w:p>
        </w:tc>
        <w:tc>
          <w:tcPr>
            <w:tcW w:w="220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中日两国的风俗习惯、风土人情等存在着差异。要求学生理解这种差异，懂得入乡随俗的重要性，以便在今后的留学和工作中能够适应环境的需要。</w:t>
            </w:r>
          </w:p>
        </w:tc>
        <w:tc>
          <w:tcPr>
            <w:tcW w:w="2971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本的许多风俗习惯、风土人情是从中国引进的，但是随着历史的进程，许多风俗习惯、风土人情都发生了细微的变化。这些细微的差异是教学中需要讲解的，也是重点和难点。只有尊重他人才能够得到他人的尊重。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rFonts w:hint="eastAsia"/>
          <w:sz w:val="20"/>
          <w:szCs w:val="20"/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七、评价方式与成绩</w:t>
      </w:r>
    </w:p>
    <w:tbl>
      <w:tblPr>
        <w:tblStyle w:val="5"/>
        <w:tblpPr w:leftFromText="180" w:rightFromText="180" w:vertAnchor="text" w:horzAnchor="margin" w:tblpY="67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</w:rPr>
              <w:t>平</w:t>
            </w:r>
            <w:r>
              <w:rPr>
                <w:rFonts w:hint="eastAsia" w:ascii="宋体" w:hAnsi="宋体" w:cs="PMingLiU"/>
                <w:bCs/>
                <w:color w:val="000000"/>
              </w:rPr>
              <w:t>时</w:t>
            </w:r>
            <w:r>
              <w:rPr>
                <w:rFonts w:hint="eastAsia" w:ascii="宋体" w:hAnsi="宋体" w:cs="游明朝"/>
                <w:bCs/>
                <w:color w:val="000000"/>
              </w:rPr>
              <w:t>成</w:t>
            </w:r>
            <w:r>
              <w:rPr>
                <w:rFonts w:hint="eastAsia" w:ascii="宋体" w:hAnsi="宋体" w:cs="PMingLiU"/>
                <w:bCs/>
                <w:color w:val="000000"/>
              </w:rPr>
              <w:t>绩</w:t>
            </w:r>
            <w:r>
              <w:rPr>
                <w:rFonts w:hint="eastAsia" w:ascii="宋体" w:hAnsi="宋体" w:cs="游明朝"/>
                <w:bCs/>
                <w:color w:val="000000"/>
              </w:rPr>
              <w:t>（</w:t>
            </w:r>
            <w:r>
              <w:rPr>
                <w:rFonts w:hint="eastAsia" w:ascii="宋体" w:hAnsi="宋体" w:cs="游ゴシック Light"/>
                <w:bCs/>
                <w:color w:val="000000"/>
              </w:rPr>
              <w:t>随堂</w:t>
            </w:r>
            <w:r>
              <w:rPr>
                <w:rFonts w:hint="eastAsia" w:ascii="宋体" w:hAnsi="宋体" w:cs="PMingLiU"/>
                <w:bCs/>
                <w:color w:val="000000"/>
              </w:rPr>
              <w:t>测试</w:t>
            </w:r>
            <w:r>
              <w:rPr>
                <w:rFonts w:hint="eastAsia" w:ascii="宋体" w:hAnsi="宋体"/>
                <w:bCs/>
                <w:color w:val="000000"/>
              </w:rPr>
              <w:t>+</w:t>
            </w:r>
            <w:r>
              <w:rPr>
                <w:rFonts w:hint="eastAsia" w:ascii="宋体" w:hAnsi="宋体" w:cs="PMingLiU"/>
                <w:bCs/>
                <w:color w:val="000000"/>
              </w:rPr>
              <w:t>课</w:t>
            </w:r>
            <w:r>
              <w:rPr>
                <w:rFonts w:hint="eastAsia" w:ascii="宋体" w:hAnsi="宋体" w:cs="游明朝"/>
                <w:bCs/>
                <w:color w:val="000000"/>
              </w:rPr>
              <w:t>后作</w:t>
            </w:r>
            <w:r>
              <w:rPr>
                <w:rFonts w:hint="eastAsia" w:ascii="宋体" w:hAnsi="宋体" w:cs="PMingLiU"/>
                <w:bCs/>
                <w:color w:val="000000"/>
              </w:rPr>
              <w:t>业</w:t>
            </w:r>
            <w:r>
              <w:rPr>
                <w:rFonts w:hint="eastAsia" w:ascii="宋体" w:hAnsi="宋体" w:cs="游明朝"/>
                <w:bCs/>
                <w:color w:val="000000"/>
              </w:rPr>
              <w:t>等</w:t>
            </w:r>
            <w:r>
              <w:rPr>
                <w:rFonts w:hint="eastAsia" w:ascii="宋体" w:hAnsi="宋体"/>
                <w:bCs/>
                <w:color w:val="00000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</w:rPr>
              <w:t>平</w:t>
            </w:r>
            <w:r>
              <w:rPr>
                <w:rFonts w:hint="eastAsia" w:ascii="宋体" w:hAnsi="宋体" w:cs="PMingLiU"/>
                <w:bCs/>
                <w:color w:val="000000"/>
              </w:rPr>
              <w:t>时</w:t>
            </w:r>
            <w:r>
              <w:rPr>
                <w:rFonts w:hint="eastAsia" w:ascii="宋体" w:hAnsi="宋体" w:cs="游明朝"/>
                <w:bCs/>
                <w:color w:val="000000"/>
              </w:rPr>
              <w:t>成</w:t>
            </w:r>
            <w:r>
              <w:rPr>
                <w:rFonts w:hint="eastAsia" w:ascii="宋体" w:hAnsi="宋体" w:cs="PMingLiU"/>
                <w:bCs/>
                <w:color w:val="000000"/>
              </w:rPr>
              <w:t>绩</w:t>
            </w:r>
            <w:r>
              <w:rPr>
                <w:rFonts w:hint="eastAsia" w:ascii="宋体" w:hAnsi="宋体" w:cs="游明朝"/>
                <w:bCs/>
                <w:color w:val="000000"/>
              </w:rPr>
              <w:t>（</w:t>
            </w:r>
            <w:r>
              <w:rPr>
                <w:rFonts w:hint="eastAsia" w:ascii="宋体" w:hAnsi="宋体" w:cs="游ゴシック Light"/>
                <w:bCs/>
                <w:color w:val="000000"/>
              </w:rPr>
              <w:t>随堂</w:t>
            </w:r>
            <w:r>
              <w:rPr>
                <w:rFonts w:hint="eastAsia" w:ascii="宋体" w:hAnsi="宋体" w:cs="PMingLiU"/>
                <w:bCs/>
                <w:color w:val="000000"/>
              </w:rPr>
              <w:t>测试</w:t>
            </w:r>
            <w:r>
              <w:rPr>
                <w:rFonts w:hint="eastAsia" w:ascii="宋体" w:hAnsi="宋体"/>
                <w:bCs/>
                <w:color w:val="000000"/>
              </w:rPr>
              <w:t>+</w:t>
            </w:r>
            <w:r>
              <w:rPr>
                <w:rFonts w:hint="eastAsia" w:ascii="宋体" w:hAnsi="宋体" w:cs="PMingLiU"/>
                <w:bCs/>
                <w:color w:val="000000"/>
              </w:rPr>
              <w:t>课</w:t>
            </w:r>
            <w:r>
              <w:rPr>
                <w:rFonts w:hint="eastAsia" w:ascii="宋体" w:hAnsi="宋体" w:cs="游明朝"/>
                <w:bCs/>
                <w:color w:val="000000"/>
              </w:rPr>
              <w:t>后作</w:t>
            </w:r>
            <w:r>
              <w:rPr>
                <w:rFonts w:hint="eastAsia" w:ascii="宋体" w:hAnsi="宋体" w:cs="PMingLiU"/>
                <w:bCs/>
                <w:color w:val="000000"/>
              </w:rPr>
              <w:t>业</w:t>
            </w:r>
            <w:r>
              <w:rPr>
                <w:rFonts w:hint="eastAsia" w:ascii="宋体" w:hAnsi="宋体" w:cs="游明朝"/>
                <w:bCs/>
                <w:color w:val="000000"/>
              </w:rPr>
              <w:t>等</w:t>
            </w:r>
            <w:r>
              <w:rPr>
                <w:rFonts w:hint="eastAsia" w:ascii="宋体" w:hAnsi="宋体"/>
                <w:bCs/>
                <w:color w:val="00000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</w:rPr>
              <w:t>平</w:t>
            </w:r>
            <w:r>
              <w:rPr>
                <w:rFonts w:hint="eastAsia" w:ascii="宋体" w:hAnsi="宋体" w:cs="PMingLiU"/>
                <w:bCs/>
                <w:color w:val="000000"/>
              </w:rPr>
              <w:t>时</w:t>
            </w:r>
            <w:r>
              <w:rPr>
                <w:rFonts w:hint="eastAsia" w:ascii="宋体" w:hAnsi="宋体" w:cs="游明朝"/>
                <w:bCs/>
                <w:color w:val="000000"/>
              </w:rPr>
              <w:t>成</w:t>
            </w:r>
            <w:r>
              <w:rPr>
                <w:rFonts w:hint="eastAsia" w:ascii="宋体" w:hAnsi="宋体" w:cs="PMingLiU"/>
                <w:bCs/>
                <w:color w:val="000000"/>
              </w:rPr>
              <w:t>绩</w:t>
            </w:r>
            <w:r>
              <w:rPr>
                <w:rFonts w:hint="eastAsia" w:ascii="宋体" w:hAnsi="宋体" w:cs="游明朝"/>
                <w:bCs/>
                <w:color w:val="000000"/>
              </w:rPr>
              <w:t>（</w:t>
            </w:r>
            <w:r>
              <w:rPr>
                <w:rFonts w:hint="eastAsia" w:ascii="宋体" w:hAnsi="宋体" w:cs="游ゴシック Light"/>
                <w:bCs/>
                <w:color w:val="000000"/>
              </w:rPr>
              <w:t>随堂</w:t>
            </w:r>
            <w:r>
              <w:rPr>
                <w:rFonts w:hint="eastAsia" w:ascii="宋体" w:hAnsi="宋体" w:cs="PMingLiU"/>
                <w:bCs/>
                <w:color w:val="000000"/>
              </w:rPr>
              <w:t>测试</w:t>
            </w:r>
            <w:r>
              <w:rPr>
                <w:rFonts w:hint="eastAsia" w:ascii="宋体" w:hAnsi="宋体"/>
                <w:bCs/>
                <w:color w:val="000000"/>
              </w:rPr>
              <w:t>+</w:t>
            </w:r>
            <w:r>
              <w:rPr>
                <w:rFonts w:hint="eastAsia" w:ascii="宋体" w:hAnsi="宋体" w:cs="PMingLiU"/>
                <w:bCs/>
                <w:color w:val="000000"/>
              </w:rPr>
              <w:t>课</w:t>
            </w:r>
            <w:r>
              <w:rPr>
                <w:rFonts w:hint="eastAsia" w:ascii="宋体" w:hAnsi="宋体" w:cs="游明朝"/>
                <w:bCs/>
                <w:color w:val="000000"/>
              </w:rPr>
              <w:t>后作</w:t>
            </w:r>
            <w:r>
              <w:rPr>
                <w:rFonts w:hint="eastAsia" w:ascii="宋体" w:hAnsi="宋体" w:cs="PMingLiU"/>
                <w:bCs/>
                <w:color w:val="000000"/>
              </w:rPr>
              <w:t>业</w:t>
            </w:r>
            <w:r>
              <w:rPr>
                <w:rFonts w:hint="eastAsia" w:ascii="宋体" w:hAnsi="宋体" w:cs="游明朝"/>
                <w:bCs/>
                <w:color w:val="000000"/>
              </w:rPr>
              <w:t>等</w:t>
            </w:r>
            <w:r>
              <w:rPr>
                <w:rFonts w:hint="eastAsia" w:ascii="宋体" w:hAnsi="宋体"/>
                <w:bCs/>
                <w:color w:val="00000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before="120" w:after="120" w:line="288" w:lineRule="auto"/>
        <w:rPr>
          <w:rFonts w:hint="eastAsia"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 w:ascii="MS Mincho" w:hAnsi="MS Mincho" w:eastAsia="MS Mincho"/>
          <w:sz w:val="28"/>
          <w:szCs w:val="28"/>
          <w:lang w:eastAsia="ja-JP"/>
        </w:rPr>
        <w:t>　</w:t>
      </w:r>
      <w:r>
        <w:drawing>
          <wp:inline distT="0" distB="0" distL="0" distR="0">
            <wp:extent cx="922020" cy="304800"/>
            <wp:effectExtent l="0" t="0" r="0" b="0"/>
            <wp:docPr id="2" name="図 2" descr="C:\Users\user\AppData\Local\Temp\WeChat Files\eb1b2af7e76a69ba7d257a50e5997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user\AppData\Local\Temp\WeChat Files\eb1b2af7e76a69ba7d257a50e59971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S Mincho" w:hAnsi="MS Mincho" w:eastAsia="MS Mincho"/>
          <w:sz w:val="28"/>
          <w:szCs w:val="28"/>
          <w:lang w:eastAsia="ja-JP"/>
        </w:rPr>
        <w:t>　　　</w:t>
      </w:r>
      <w:r>
        <w:rPr>
          <w:rFonts w:hint="eastAsia" w:ascii="MS Mincho" w:hAnsi="MS Mincho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系主任审核签名： 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673735" cy="244475"/>
            <wp:effectExtent l="0" t="0" r="12065" b="3175"/>
            <wp:docPr id="3" name="图片 3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刘尔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</w:t>
      </w:r>
    </w:p>
    <w:p>
      <w:pPr>
        <w:snapToGrid w:val="0"/>
        <w:spacing w:line="288" w:lineRule="auto"/>
        <w:jc w:val="left"/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Cs w:val="21"/>
          <w:lang w:val="en-US" w:eastAsia="zh-CN"/>
        </w:rPr>
        <w:t>2023年2月25日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游明朝">
    <w:altName w:val="MS PMincho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游ゴシック Light">
    <w:altName w:val="MS UI Gothic"/>
    <w:panose1 w:val="020B0300000000000000"/>
    <w:charset w:val="80"/>
    <w:family w:val="modern"/>
    <w:pitch w:val="default"/>
    <w:sig w:usb0="00000000" w:usb1="00000000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EFE0D"/>
    <w:multiLevelType w:val="singleLevel"/>
    <w:tmpl w:val="936EFE0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B7651F"/>
    <w:rsid w:val="00010826"/>
    <w:rsid w:val="000E4BAC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4568BD"/>
    <w:rsid w:val="004B6790"/>
    <w:rsid w:val="005467DC"/>
    <w:rsid w:val="00553D03"/>
    <w:rsid w:val="005B2B6D"/>
    <w:rsid w:val="005B4B4E"/>
    <w:rsid w:val="005F27BB"/>
    <w:rsid w:val="00624FE1"/>
    <w:rsid w:val="006569F5"/>
    <w:rsid w:val="00657254"/>
    <w:rsid w:val="007208D6"/>
    <w:rsid w:val="008B397C"/>
    <w:rsid w:val="008B47F4"/>
    <w:rsid w:val="00900019"/>
    <w:rsid w:val="00902417"/>
    <w:rsid w:val="0099063E"/>
    <w:rsid w:val="00A769B1"/>
    <w:rsid w:val="00A837D5"/>
    <w:rsid w:val="00AC4C45"/>
    <w:rsid w:val="00B46F21"/>
    <w:rsid w:val="00B511A5"/>
    <w:rsid w:val="00B632CB"/>
    <w:rsid w:val="00B736A7"/>
    <w:rsid w:val="00B7651F"/>
    <w:rsid w:val="00C56E09"/>
    <w:rsid w:val="00CB2EC5"/>
    <w:rsid w:val="00CF096B"/>
    <w:rsid w:val="00D017CB"/>
    <w:rsid w:val="00D26262"/>
    <w:rsid w:val="00D81771"/>
    <w:rsid w:val="00E16D30"/>
    <w:rsid w:val="00E33169"/>
    <w:rsid w:val="00E36963"/>
    <w:rsid w:val="00E70904"/>
    <w:rsid w:val="00EF44B1"/>
    <w:rsid w:val="00F35AA0"/>
    <w:rsid w:val="016E63C2"/>
    <w:rsid w:val="024B0C39"/>
    <w:rsid w:val="02896EE4"/>
    <w:rsid w:val="03785E8F"/>
    <w:rsid w:val="05827871"/>
    <w:rsid w:val="06421089"/>
    <w:rsid w:val="079131FC"/>
    <w:rsid w:val="09482CCD"/>
    <w:rsid w:val="0A8128A6"/>
    <w:rsid w:val="0BDE49F8"/>
    <w:rsid w:val="0BF32A1B"/>
    <w:rsid w:val="0FFA5589"/>
    <w:rsid w:val="10BD2C22"/>
    <w:rsid w:val="13FA5219"/>
    <w:rsid w:val="1D814953"/>
    <w:rsid w:val="22987C80"/>
    <w:rsid w:val="24192CCC"/>
    <w:rsid w:val="2C71584E"/>
    <w:rsid w:val="2FA17EFD"/>
    <w:rsid w:val="39A66CD4"/>
    <w:rsid w:val="3C7D4FB5"/>
    <w:rsid w:val="3CD52CE1"/>
    <w:rsid w:val="3DB47B36"/>
    <w:rsid w:val="3DCB345B"/>
    <w:rsid w:val="3E497394"/>
    <w:rsid w:val="410F2E6A"/>
    <w:rsid w:val="433B3139"/>
    <w:rsid w:val="4430136C"/>
    <w:rsid w:val="46BF20CD"/>
    <w:rsid w:val="472D6416"/>
    <w:rsid w:val="4AB0382B"/>
    <w:rsid w:val="569868B5"/>
    <w:rsid w:val="5AF1515D"/>
    <w:rsid w:val="5F4F0CE4"/>
    <w:rsid w:val="611F6817"/>
    <w:rsid w:val="6470330B"/>
    <w:rsid w:val="66CA1754"/>
    <w:rsid w:val="6A7161EF"/>
    <w:rsid w:val="6F1E65D4"/>
    <w:rsid w:val="6F266C86"/>
    <w:rsid w:val="6F5042C2"/>
    <w:rsid w:val="70246516"/>
    <w:rsid w:val="74316312"/>
    <w:rsid w:val="780F13C8"/>
    <w:rsid w:val="793801DD"/>
    <w:rsid w:val="7C385448"/>
    <w:rsid w:val="7CB3663D"/>
    <w:rsid w:val="7DD443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ヘッダー (文字)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フッター (文字)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2708</Words>
  <Characters>3047</Characters>
  <Lines>24</Lines>
  <Paragraphs>6</Paragraphs>
  <TotalTime>0</TotalTime>
  <ScaleCrop>false</ScaleCrop>
  <LinksUpToDate>false</LinksUpToDate>
  <CharactersWithSpaces>3078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2021-01-26T00:45:00Z</dcterms:created>
  <dc:creator>juvg</dc:creator>
  <cp:lastModifiedBy>Administrator</cp:lastModifiedBy>
  <dcterms:modified xsi:type="dcterms:W3CDTF">2023-03-20T00:59:03Z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0F0730C922734AE390549756CFE49581</vt:lpwstr>
  </property>
</Properties>
</file>