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8" w:lineRule="auto"/>
        <w:jc w:val="center"/>
        <w:rPr>
          <w:b/>
          <w:sz w:val="28"/>
          <w:szCs w:val="30"/>
        </w:rPr>
      </w:pPr>
      <w:bookmarkStart w:id="2" w:name="_GoBack"/>
      <w:bookmarkEnd w:id="2"/>
      <w:r>
        <w:rPr>
          <w:rFonts w:hint="eastAsia"/>
          <w:b/>
          <w:sz w:val="28"/>
          <w:szCs w:val="30"/>
        </w:rPr>
        <w:t>【</w:t>
      </w:r>
      <w:r>
        <w:rPr>
          <w:rFonts w:hint="eastAsia" w:eastAsia="宋体" w:cs="Times New Roman"/>
          <w:b/>
          <w:sz w:val="28"/>
          <w:szCs w:val="30"/>
        </w:rPr>
        <w:t>日语专业技能训练</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Style w:val="9"/>
          <w:rFonts w:ascii="Times New Roman" w:hAnsi="Times New Roman" w:eastAsia="等线"/>
          <w:sz w:val="28"/>
          <w:szCs w:val="28"/>
        </w:rPr>
        <w:t xml:space="preserve">Japanese </w:t>
      </w:r>
      <w:r>
        <w:rPr>
          <w:rStyle w:val="9"/>
          <w:rFonts w:hint="eastAsia" w:ascii="Times New Roman" w:hAnsi="Times New Roman" w:eastAsia="等线"/>
          <w:sz w:val="28"/>
          <w:szCs w:val="28"/>
        </w:rPr>
        <w:t>C</w:t>
      </w:r>
      <w:r>
        <w:rPr>
          <w:rStyle w:val="9"/>
          <w:rFonts w:ascii="Times New Roman" w:hAnsi="Times New Roman" w:eastAsia="等线"/>
          <w:sz w:val="28"/>
          <w:szCs w:val="28"/>
        </w:rPr>
        <w:t xml:space="preserve">omprehensive </w:t>
      </w:r>
      <w:r>
        <w:rPr>
          <w:rStyle w:val="9"/>
          <w:rFonts w:hint="eastAsia" w:ascii="Times New Roman" w:hAnsi="Times New Roman" w:eastAsia="等线"/>
          <w:sz w:val="28"/>
          <w:szCs w:val="28"/>
        </w:rPr>
        <w:t>S</w:t>
      </w:r>
      <w:r>
        <w:rPr>
          <w:rStyle w:val="9"/>
          <w:rFonts w:ascii="Times New Roman" w:hAnsi="Times New Roman" w:eastAsia="等线"/>
          <w:sz w:val="28"/>
          <w:szCs w:val="28"/>
        </w:rPr>
        <w:t>kills</w:t>
      </w:r>
      <w:r>
        <w:rPr>
          <w:rStyle w:val="9"/>
          <w:rFonts w:hint="eastAsia" w:ascii="Times New Roman" w:hAnsi="Times New Roman" w:eastAsia="等线"/>
          <w:sz w:val="28"/>
          <w:szCs w:val="28"/>
        </w:rPr>
        <w:t xml:space="preserve"> </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sz w:val="20"/>
          <w:szCs w:val="20"/>
        </w:rPr>
      </w:pPr>
      <w:r>
        <w:rPr>
          <w:b/>
          <w:bCs/>
          <w:sz w:val="20"/>
          <w:szCs w:val="20"/>
        </w:rPr>
        <w:t>课程代码：</w:t>
      </w:r>
      <w:r>
        <w:rPr>
          <w:sz w:val="20"/>
          <w:szCs w:val="20"/>
        </w:rPr>
        <w:t>【</w:t>
      </w:r>
      <w:r>
        <w:rPr>
          <w:rFonts w:hint="eastAsia"/>
          <w:sz w:val="20"/>
          <w:szCs w:val="20"/>
        </w:rPr>
        <w:t>1020039</w:t>
      </w:r>
      <w:r>
        <w:rPr>
          <w:sz w:val="20"/>
          <w:szCs w:val="20"/>
        </w:rPr>
        <w:t>】</w:t>
      </w:r>
      <w:bookmarkStart w:id="1" w:name="_GoBack"/>
      <w:bookmarkEnd w:id="1"/>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本科</w:t>
      </w:r>
      <w:r>
        <w:rPr>
          <w:color w:val="000000"/>
          <w:sz w:val="20"/>
          <w:szCs w:val="20"/>
        </w:rPr>
        <w:t>日语</w:t>
      </w:r>
      <w:r>
        <w:rPr>
          <w:rFonts w:hint="eastAsia"/>
          <w:color w:val="000000"/>
          <w:sz w:val="20"/>
          <w:szCs w:val="20"/>
        </w:rPr>
        <w:t>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系级专业选修课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bCs/>
          <w:color w:val="000000"/>
          <w:sz w:val="20"/>
          <w:szCs w:val="20"/>
        </w:rPr>
        <w:t>外国语学院日语系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主要教材【</w:t>
      </w:r>
      <w:r>
        <w:rPr>
          <w:rFonts w:hint="eastAsia" w:ascii="宋体" w:hAnsi="宋体"/>
          <w:kern w:val="0"/>
          <w:szCs w:val="21"/>
        </w:rPr>
        <w:t>《日语专业四级考试综合辅导与强化训练》</w:t>
      </w:r>
      <w:r>
        <w:rPr>
          <w:rFonts w:hint="eastAsia"/>
          <w:color w:val="000000"/>
          <w:sz w:val="20"/>
          <w:szCs w:val="20"/>
        </w:rPr>
        <w:t>，</w:t>
      </w:r>
      <w:r>
        <w:rPr>
          <w:rFonts w:ascii="宋体" w:hAnsi="宋体"/>
          <w:kern w:val="0"/>
          <w:szCs w:val="21"/>
        </w:rPr>
        <w:fldChar w:fldCharType="begin"/>
      </w:r>
      <w:r>
        <w:rPr>
          <w:rFonts w:ascii="宋体" w:hAnsi="宋体"/>
          <w:kern w:val="0"/>
          <w:szCs w:val="21"/>
        </w:rPr>
        <w:instrText xml:space="preserve"> HYPERLINK "http://search.dangdang.com/?key2=%CD%8C%D4%AD%D5%FD%D7%D3&amp;medium=01&amp;category_path=01.00.00.00.00.00" \t "_blank" </w:instrText>
      </w:r>
      <w:r>
        <w:rPr>
          <w:rFonts w:ascii="宋体" w:hAnsi="宋体"/>
          <w:kern w:val="0"/>
          <w:szCs w:val="21"/>
        </w:rPr>
        <w:fldChar w:fldCharType="separate"/>
      </w:r>
      <w:r>
        <w:rPr>
          <w:rFonts w:ascii="宋体" w:hAnsi="宋体"/>
          <w:kern w:val="0"/>
          <w:szCs w:val="21"/>
        </w:rPr>
        <w:t>蛯原正子</w:t>
      </w:r>
      <w:r>
        <w:rPr>
          <w:rFonts w:ascii="宋体" w:hAnsi="宋体"/>
          <w:kern w:val="0"/>
          <w:szCs w:val="21"/>
        </w:rPr>
        <w:fldChar w:fldCharType="end"/>
      </w:r>
      <w:r>
        <w:rPr>
          <w:rFonts w:ascii="宋体" w:hAnsi="宋体"/>
          <w:kern w:val="0"/>
          <w:szCs w:val="21"/>
        </w:rPr>
        <w:t>、史兆红</w:t>
      </w:r>
      <w:r>
        <w:rPr>
          <w:rFonts w:hint="eastAsia"/>
          <w:color w:val="000000"/>
          <w:sz w:val="20"/>
          <w:szCs w:val="20"/>
        </w:rPr>
        <w:t>主编，</w:t>
      </w:r>
    </w:p>
    <w:p>
      <w:pPr>
        <w:snapToGrid w:val="0"/>
        <w:spacing w:line="288" w:lineRule="auto"/>
        <w:ind w:left="2050" w:leftChars="976"/>
        <w:rPr>
          <w:color w:val="000000"/>
          <w:sz w:val="20"/>
          <w:szCs w:val="20"/>
        </w:rPr>
      </w:pPr>
      <w:r>
        <w:rPr>
          <w:rFonts w:ascii="宋体" w:hAnsi="宋体"/>
          <w:kern w:val="0"/>
          <w:szCs w:val="21"/>
        </w:rPr>
        <w:fldChar w:fldCharType="begin"/>
      </w:r>
      <w:r>
        <w:rPr>
          <w:rFonts w:ascii="宋体" w:hAnsi="宋体"/>
          <w:kern w:val="0"/>
          <w:szCs w:val="21"/>
        </w:rPr>
        <w:instrText xml:space="preserve"> HYPERLINK "http://search.dangdang.com/?key3=%CD%E2%D3%EF%BD%CC%D1%A7%D3%EB%D1%D0%BE%BF%B3%F6%B0%E6%C9%E7&amp;medium=01&amp;category_path=01.00.00.00.00.00" \t "_blank" </w:instrText>
      </w:r>
      <w:r>
        <w:rPr>
          <w:rFonts w:ascii="宋体" w:hAnsi="宋体"/>
          <w:kern w:val="0"/>
          <w:szCs w:val="21"/>
        </w:rPr>
        <w:fldChar w:fldCharType="separate"/>
      </w:r>
      <w:r>
        <w:rPr>
          <w:rFonts w:ascii="宋体" w:hAnsi="宋体"/>
          <w:kern w:val="0"/>
          <w:szCs w:val="21"/>
        </w:rPr>
        <w:t>外语教学与研究出版社</w:t>
      </w:r>
      <w:r>
        <w:rPr>
          <w:rFonts w:ascii="宋体" w:hAnsi="宋体"/>
          <w:kern w:val="0"/>
          <w:szCs w:val="21"/>
        </w:rPr>
        <w:fldChar w:fldCharType="end"/>
      </w:r>
      <w:r>
        <w:rPr>
          <w:color w:val="000000"/>
          <w:sz w:val="20"/>
          <w:szCs w:val="20"/>
        </w:rPr>
        <w:t>】</w:t>
      </w:r>
    </w:p>
    <w:p>
      <w:pPr>
        <w:snapToGrid w:val="0"/>
        <w:spacing w:line="288" w:lineRule="auto"/>
        <w:ind w:left="1823" w:leftChars="392" w:hanging="1000" w:hangingChars="50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ascii="宋体" w:hAnsi="宋体"/>
          <w:kern w:val="0"/>
          <w:szCs w:val="21"/>
        </w:rPr>
        <w:t>《高等院校日语专业四级考试10年真题与详解》</w:t>
      </w:r>
      <w:r>
        <w:rPr>
          <w:rFonts w:hint="eastAsia"/>
          <w:color w:val="000000"/>
          <w:sz w:val="20"/>
          <w:szCs w:val="20"/>
        </w:rPr>
        <w:t>，许纬主编，</w:t>
      </w:r>
      <w:r>
        <w:rPr>
          <w:rFonts w:ascii="宋体" w:hAnsi="宋体"/>
          <w:kern w:val="0"/>
          <w:szCs w:val="21"/>
        </w:rPr>
        <w:fldChar w:fldCharType="begin"/>
      </w:r>
      <w:r>
        <w:rPr>
          <w:rFonts w:ascii="宋体" w:hAnsi="宋体"/>
          <w:kern w:val="0"/>
          <w:szCs w:val="21"/>
        </w:rPr>
        <w:instrText xml:space="preserve"> HYPERLINK "http://search.dangdang.com/?key3=%CD%E2%D3%EF%BD%CC%D1%A7%D3%EB%D1%D0%BE%BF%B3%F6%B0%E6%C9%E7&amp;medium=01&amp;category_path=01.00.00.00.00.00" \t "_blank" </w:instrText>
      </w:r>
      <w:r>
        <w:rPr>
          <w:rFonts w:ascii="宋体" w:hAnsi="宋体"/>
          <w:kern w:val="0"/>
          <w:szCs w:val="21"/>
        </w:rPr>
        <w:fldChar w:fldCharType="separate"/>
      </w:r>
      <w:r>
        <w:rPr>
          <w:rFonts w:ascii="宋体" w:hAnsi="宋体"/>
          <w:kern w:val="0"/>
          <w:szCs w:val="21"/>
        </w:rPr>
        <w:t>华东理工大学出版社</w:t>
      </w:r>
      <w:r>
        <w:rPr>
          <w:rFonts w:ascii="宋体" w:hAnsi="宋体"/>
          <w:kern w:val="0"/>
          <w:szCs w:val="21"/>
        </w:rPr>
        <w:fldChar w:fldCharType="end"/>
      </w:r>
      <w:r>
        <w:rPr>
          <w:color w:val="000000"/>
          <w:sz w:val="20"/>
          <w:szCs w:val="20"/>
        </w:rPr>
        <w:t>】</w:t>
      </w:r>
    </w:p>
    <w:p>
      <w:pPr>
        <w:snapToGrid w:val="0"/>
        <w:spacing w:line="288" w:lineRule="auto"/>
        <w:ind w:firstLine="394" w:firstLineChars="196"/>
        <w:rPr>
          <w:rFonts w:hint="eastAsia"/>
          <w:b/>
          <w:bCs/>
          <w:color w:val="000000"/>
          <w:sz w:val="20"/>
          <w:szCs w:val="20"/>
        </w:rPr>
      </w:pPr>
      <w:r>
        <w:rPr>
          <w:rFonts w:hint="eastAsia"/>
          <w:b/>
          <w:bCs/>
          <w:color w:val="000000"/>
          <w:sz w:val="20"/>
          <w:szCs w:val="20"/>
        </w:rPr>
        <w:t>课程网站网址：</w:t>
      </w:r>
    </w:p>
    <w:p>
      <w:pPr>
        <w:snapToGrid w:val="0"/>
        <w:spacing w:line="288" w:lineRule="auto"/>
        <w:ind w:firstLine="392" w:firstLineChars="196"/>
        <w:rPr>
          <w:color w:val="000000"/>
          <w:sz w:val="20"/>
          <w:szCs w:val="20"/>
        </w:rPr>
      </w:pPr>
      <w:r>
        <w:rPr>
          <w:color w:val="000000"/>
          <w:sz w:val="20"/>
          <w:szCs w:val="20"/>
        </w:rPr>
        <w:t>http://jwxt.gench.edu.cn/eams/teach/grade/lesson/report!blank.action?lesson.id=4</w:t>
      </w:r>
      <w:r>
        <w:rPr>
          <w:rFonts w:hint="eastAsia"/>
          <w:color w:val="000000"/>
          <w:sz w:val="20"/>
          <w:szCs w:val="20"/>
        </w:rPr>
        <w:t>52331</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 xml:space="preserve">基础日语（3） </w:t>
      </w:r>
      <w:r>
        <w:rPr>
          <w:bCs/>
          <w:color w:val="000000"/>
          <w:sz w:val="20"/>
          <w:szCs w:val="20"/>
        </w:rPr>
        <w:t>202005</w:t>
      </w:r>
      <w:r>
        <w:rPr>
          <w:rFonts w:hint="eastAsia"/>
          <w:bCs/>
          <w:color w:val="000000"/>
          <w:sz w:val="20"/>
          <w:szCs w:val="20"/>
        </w:rPr>
        <w:t>4</w:t>
      </w:r>
      <w:r>
        <w:rPr>
          <w:rFonts w:hint="eastAsia"/>
          <w:color w:val="000000"/>
          <w:sz w:val="20"/>
          <w:szCs w:val="20"/>
        </w:rPr>
        <w:t xml:space="preserve"> （10）</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rFonts w:hint="eastAsia"/>
          <w:color w:val="000000"/>
          <w:sz w:val="20"/>
          <w:szCs w:val="20"/>
        </w:rPr>
      </w:pPr>
      <w:r>
        <w:rPr>
          <w:rFonts w:hint="eastAsia"/>
          <w:color w:val="000000"/>
          <w:sz w:val="20"/>
          <w:szCs w:val="20"/>
        </w:rPr>
        <w:t>本课程适用于日语专业本科低年级阶段学生，在日语本科二年级下学期开课。大学日语专业四级考试自2002年实施以来，逐步成为衡量各大学日语专业日语教学水平的基准而越来越得到重视，因此，日语专业四级考试的重要性不言而喻。</w:t>
      </w:r>
    </w:p>
    <w:p>
      <w:pPr>
        <w:snapToGrid w:val="0"/>
        <w:spacing w:line="288" w:lineRule="auto"/>
        <w:ind w:firstLine="400" w:firstLineChars="200"/>
        <w:rPr>
          <w:color w:val="000000"/>
          <w:sz w:val="20"/>
          <w:szCs w:val="20"/>
        </w:rPr>
      </w:pPr>
      <w:r>
        <w:rPr>
          <w:rFonts w:hint="eastAsia"/>
          <w:color w:val="000000"/>
          <w:sz w:val="20"/>
          <w:szCs w:val="20"/>
        </w:rPr>
        <w:t>本课程的目的在于结合日语专业四级考试大纲的要求，系统地归纳、总结和讲解基础阶段所要求掌握的语言知识点，训练和提高学生的语言技能。按照“全国高等院校日语专业基础阶段教学大纲”和“高校日语专业四级考试大纲”的要求，从文字、词汇、语法（主要讲解助词和基本句型）等进行详细的说明和讲解，同时对听力、阅读、写作等作一定的训练和应对策略的说明。通过本课程的学习，目的是让学生能够顺利通过日语专业四级考试，为今后进一步学习打好基础。</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本课程适合日语本科专业二年级第二学期开设。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912" w:type="dxa"/>
            <w:gridSpan w:val="2"/>
            <w:noWrap w:val="0"/>
            <w:vAlign w:val="top"/>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18" w:type="dxa"/>
            <w:noWrap w:val="0"/>
            <w:vAlign w:val="top"/>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8" w:hRule="atLeast"/>
        </w:trPr>
        <w:tc>
          <w:tcPr>
            <w:tcW w:w="817" w:type="dxa"/>
            <w:vMerge w:val="restart"/>
            <w:noWrap w:val="0"/>
            <w:vAlign w:val="center"/>
          </w:tcPr>
          <w:p>
            <w:pPr>
              <w:rPr>
                <w:kern w:val="0"/>
                <w:sz w:val="20"/>
                <w:szCs w:val="20"/>
              </w:rPr>
            </w:pPr>
            <w:r>
              <w:rPr>
                <w:rFonts w:hint="eastAsia" w:ascii="仿宋" w:hAnsi="仿宋" w:eastAsia="仿宋" w:cs="宋体"/>
                <w:color w:val="000000"/>
                <w:kern w:val="0"/>
                <w:sz w:val="24"/>
                <w:szCs w:val="24"/>
              </w:rPr>
              <w:t>LO11：</w:t>
            </w:r>
          </w:p>
        </w:tc>
        <w:tc>
          <w:tcPr>
            <w:tcW w:w="6095" w:type="dxa"/>
            <w:noWrap w:val="0"/>
            <w:vAlign w:val="center"/>
          </w:tcPr>
          <w:p>
            <w:pPr>
              <w:rPr>
                <w:kern w:val="0"/>
                <w:sz w:val="20"/>
                <w:szCs w:val="20"/>
              </w:rPr>
            </w:pPr>
            <w:r>
              <w:rPr>
                <w:rFonts w:hint="eastAsia"/>
                <w:kern w:val="0"/>
                <w:sz w:val="20"/>
                <w:szCs w:val="20"/>
              </w:rPr>
              <w:t>LO111倾听他人意见、尊重他人观点、分析他人需求。</w:t>
            </w:r>
          </w:p>
        </w:tc>
        <w:tc>
          <w:tcPr>
            <w:tcW w:w="618" w:type="dxa"/>
            <w:noWrap w:val="0"/>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157" w:hRule="atLeast"/>
        </w:trPr>
        <w:tc>
          <w:tcPr>
            <w:tcW w:w="817" w:type="dxa"/>
            <w:vMerge w:val="continue"/>
            <w:noWrap w:val="0"/>
            <w:vAlign w:val="center"/>
          </w:tcPr>
          <w:p>
            <w:pPr>
              <w:rPr>
                <w:rFonts w:ascii="仿宋" w:hAnsi="仿宋" w:eastAsia="仿宋" w:cs="宋体"/>
                <w:color w:val="000000"/>
                <w:kern w:val="0"/>
                <w:sz w:val="24"/>
                <w:szCs w:val="24"/>
              </w:rPr>
            </w:pPr>
          </w:p>
        </w:tc>
        <w:tc>
          <w:tcPr>
            <w:tcW w:w="6095" w:type="dxa"/>
            <w:noWrap w:val="0"/>
            <w:vAlign w:val="center"/>
          </w:tcPr>
          <w:p>
            <w:pPr>
              <w:rPr>
                <w:kern w:val="0"/>
                <w:sz w:val="20"/>
                <w:szCs w:val="20"/>
              </w:rPr>
            </w:pPr>
            <w:r>
              <w:rPr>
                <w:rFonts w:hint="eastAsia"/>
                <w:kern w:val="0"/>
                <w:sz w:val="20"/>
                <w:szCs w:val="20"/>
              </w:rPr>
              <w:t>LO112应用书面或口头形式，阐释自己的观点，有效沟通。</w:t>
            </w:r>
          </w:p>
        </w:tc>
        <w:tc>
          <w:tcPr>
            <w:tcW w:w="618" w:type="dxa"/>
            <w:noWrap w:val="0"/>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8" w:hRule="atLeast"/>
        </w:trPr>
        <w:tc>
          <w:tcPr>
            <w:tcW w:w="817" w:type="dxa"/>
            <w:vMerge w:val="restart"/>
            <w:noWrap w:val="0"/>
            <w:vAlign w:val="center"/>
          </w:tcPr>
          <w:p>
            <w:pPr>
              <w:widowControl/>
              <w:rPr>
                <w:kern w:val="0"/>
                <w:sz w:val="20"/>
                <w:szCs w:val="20"/>
              </w:rPr>
            </w:pPr>
            <w:r>
              <w:rPr>
                <w:rFonts w:hint="eastAsia" w:ascii="仿宋" w:hAnsi="仿宋" w:eastAsia="仿宋" w:cs="宋体"/>
                <w:color w:val="000000"/>
                <w:kern w:val="0"/>
                <w:sz w:val="24"/>
                <w:szCs w:val="24"/>
              </w:rPr>
              <w:t>LO21：</w:t>
            </w:r>
          </w:p>
        </w:tc>
        <w:tc>
          <w:tcPr>
            <w:tcW w:w="6095" w:type="dxa"/>
            <w:noWrap w:val="0"/>
            <w:vAlign w:val="center"/>
          </w:tcPr>
          <w:p>
            <w:pPr>
              <w:widowControl/>
              <w:rPr>
                <w:kern w:val="0"/>
                <w:sz w:val="20"/>
                <w:szCs w:val="20"/>
              </w:rPr>
            </w:pPr>
            <w:r>
              <w:rPr>
                <w:rFonts w:hint="eastAsia"/>
                <w:kern w:val="0"/>
                <w:sz w:val="20"/>
                <w:szCs w:val="20"/>
              </w:rPr>
              <w:t>LO211能根据需要自己确定学习目标，并设计学习计划。</w:t>
            </w:r>
          </w:p>
        </w:tc>
        <w:tc>
          <w:tcPr>
            <w:tcW w:w="618" w:type="dxa"/>
            <w:noWrap w:val="0"/>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7"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L0212能搜集、获取达到目标所需要的学习资源，实施学习计划、反思学习计划、持续改进，达到学习目标。</w:t>
            </w:r>
          </w:p>
        </w:tc>
        <w:tc>
          <w:tcPr>
            <w:tcW w:w="618" w:type="dxa"/>
            <w:noWrap w:val="0"/>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6" w:hRule="atLeast"/>
        </w:trPr>
        <w:tc>
          <w:tcPr>
            <w:tcW w:w="817" w:type="dxa"/>
            <w:vMerge w:val="restart"/>
            <w:noWrap w:val="0"/>
            <w:vAlign w:val="center"/>
          </w:tcPr>
          <w:p>
            <w:pPr>
              <w:widowControl/>
              <w:rPr>
                <w:kern w:val="0"/>
                <w:sz w:val="20"/>
                <w:szCs w:val="20"/>
              </w:rPr>
            </w:pPr>
            <w:r>
              <w:rPr>
                <w:rFonts w:hint="eastAsia" w:ascii="仿宋" w:hAnsi="仿宋" w:eastAsia="仿宋" w:cs="宋体"/>
                <w:color w:val="000000"/>
                <w:kern w:val="0"/>
                <w:sz w:val="24"/>
                <w:szCs w:val="24"/>
              </w:rPr>
              <w:t>LO31：</w:t>
            </w:r>
          </w:p>
        </w:tc>
        <w:tc>
          <w:tcPr>
            <w:tcW w:w="6095" w:type="dxa"/>
            <w:noWrap w:val="0"/>
            <w:vAlign w:val="center"/>
          </w:tcPr>
          <w:p>
            <w:pPr>
              <w:widowControl/>
              <w:rPr>
                <w:kern w:val="0"/>
                <w:sz w:val="20"/>
                <w:szCs w:val="20"/>
              </w:rPr>
            </w:pPr>
            <w:r>
              <w:rPr>
                <w:rFonts w:hint="eastAsia"/>
                <w:kern w:val="0"/>
                <w:sz w:val="20"/>
                <w:szCs w:val="20"/>
              </w:rPr>
              <w:t>LO311能听懂正常语速下的日语对话，根据语调和重音理解说话者的意图，能听懂语段内容，并提取信息和观点。</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6"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LO312掌握正确的发音，能够使用日语进行交流与表达。</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6"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LO313掌握日语阅读技能，包括细读、泛读、评读等能力，提高分析归纳、推理检验等逻辑思维能力。</w:t>
            </w:r>
          </w:p>
        </w:tc>
        <w:tc>
          <w:tcPr>
            <w:tcW w:w="618" w:type="dxa"/>
            <w:noWrap w:val="0"/>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6"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LO314了解日语写作的基础知识，摆脱汉语的思维方式，用地道的日语进行表情达意，具备必要的应用文写作技能。</w:t>
            </w:r>
          </w:p>
        </w:tc>
        <w:tc>
          <w:tcPr>
            <w:tcW w:w="618" w:type="dxa"/>
            <w:noWrap w:val="0"/>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6"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LO315了解并掌握翻译技巧，了解不同文体的语言特点和翻译方法，能使用中日两种语言进行各种翻译活动。</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 w:hRule="atLeast"/>
        </w:trPr>
        <w:tc>
          <w:tcPr>
            <w:tcW w:w="817" w:type="dxa"/>
            <w:vMerge w:val="restart"/>
            <w:noWrap w:val="0"/>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p>
        </w:tc>
        <w:tc>
          <w:tcPr>
            <w:tcW w:w="6095" w:type="dxa"/>
            <w:noWrap w:val="0"/>
            <w:vAlign w:val="center"/>
          </w:tcPr>
          <w:p>
            <w:pPr>
              <w:widowControl/>
              <w:rPr>
                <w:rFonts w:ascii="仿宋" w:hAnsi="仿宋" w:eastAsia="仿宋" w:cs="宋体"/>
                <w:color w:val="000000"/>
                <w:kern w:val="0"/>
                <w:sz w:val="24"/>
                <w:szCs w:val="20"/>
              </w:rPr>
            </w:pPr>
            <w:r>
              <w:rPr>
                <w:rFonts w:hint="eastAsia"/>
                <w:kern w:val="0"/>
                <w:sz w:val="20"/>
                <w:szCs w:val="20"/>
              </w:rPr>
              <w:t>LO321了解语言学的一般理论，以及语言学研究的发展与现状。</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LO322透彻分析日语语素、词汇及语法结构，能对语法现象进行分析归纳与总结。</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LO323了解日本文学史上不同时期的重要作家及其代表作品。</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LO324具备阅读、欣赏、理解日本文学原著的能力，掌握文学批评的基本知识和方法。</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8" w:hRule="atLeast"/>
        </w:trPr>
        <w:tc>
          <w:tcPr>
            <w:tcW w:w="817" w:type="dxa"/>
            <w:vMerge w:val="restart"/>
            <w:noWrap w:val="0"/>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p>
        </w:tc>
        <w:tc>
          <w:tcPr>
            <w:tcW w:w="6095" w:type="dxa"/>
            <w:noWrap w:val="0"/>
            <w:vAlign w:val="center"/>
          </w:tcPr>
          <w:p>
            <w:pPr>
              <w:widowControl/>
              <w:rPr>
                <w:kern w:val="0"/>
                <w:sz w:val="20"/>
                <w:szCs w:val="20"/>
              </w:rPr>
            </w:pPr>
            <w:r>
              <w:rPr>
                <w:rFonts w:hint="eastAsia"/>
                <w:kern w:val="0"/>
                <w:sz w:val="20"/>
                <w:szCs w:val="20"/>
              </w:rPr>
              <w:t>LO331了解日本文化、社会和风土人情，认识中日文化差异。</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7"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LO332具有跨文化交际能力，掌握有效的认知、调控、交际策略和跨文化理解能力。</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8" w:hRule="atLeast"/>
        </w:trPr>
        <w:tc>
          <w:tcPr>
            <w:tcW w:w="817" w:type="dxa"/>
            <w:vMerge w:val="restart"/>
            <w:noWrap w:val="0"/>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p>
        </w:tc>
        <w:tc>
          <w:tcPr>
            <w:tcW w:w="6095" w:type="dxa"/>
            <w:noWrap w:val="0"/>
            <w:vAlign w:val="center"/>
          </w:tcPr>
          <w:p>
            <w:pPr>
              <w:widowControl/>
              <w:rPr>
                <w:kern w:val="0"/>
                <w:sz w:val="20"/>
                <w:szCs w:val="20"/>
              </w:rPr>
            </w:pPr>
            <w:r>
              <w:rPr>
                <w:rFonts w:hint="eastAsia"/>
                <w:kern w:val="0"/>
                <w:sz w:val="20"/>
                <w:szCs w:val="20"/>
              </w:rPr>
              <w:t>LO341掌握商务相关的基本理论知识，国家对外贸易方针、政策以及具备国际商务实务操作的技能和素质。</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7"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LO342能够使用日语语言处理商务活动中的常规业务，能用中日文双语撰写外贸函电，填写国际贸易的单证，起草外贸合同。</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5" w:hRule="atLeast"/>
        </w:trPr>
        <w:tc>
          <w:tcPr>
            <w:tcW w:w="817" w:type="dxa"/>
            <w:vMerge w:val="restart"/>
            <w:noWrap w:val="0"/>
            <w:vAlign w:val="center"/>
          </w:tcPr>
          <w:p>
            <w:pPr>
              <w:widowControl/>
              <w:rPr>
                <w:kern w:val="0"/>
                <w:sz w:val="20"/>
                <w:szCs w:val="20"/>
              </w:rPr>
            </w:pPr>
            <w:r>
              <w:rPr>
                <w:rFonts w:hint="eastAsia" w:ascii="仿宋" w:hAnsi="仿宋" w:eastAsia="仿宋" w:cs="宋体"/>
                <w:color w:val="000000"/>
                <w:kern w:val="0"/>
                <w:sz w:val="24"/>
                <w:szCs w:val="24"/>
              </w:rPr>
              <w:t>LO41：</w:t>
            </w:r>
          </w:p>
        </w:tc>
        <w:tc>
          <w:tcPr>
            <w:tcW w:w="6095" w:type="dxa"/>
            <w:noWrap w:val="0"/>
            <w:vAlign w:val="center"/>
          </w:tcPr>
          <w:p>
            <w:pPr>
              <w:widowControl/>
              <w:rPr>
                <w:kern w:val="0"/>
                <w:sz w:val="20"/>
                <w:szCs w:val="20"/>
              </w:rPr>
            </w:pPr>
            <w:r>
              <w:rPr>
                <w:rFonts w:hint="eastAsia"/>
                <w:kern w:val="0"/>
                <w:sz w:val="20"/>
                <w:szCs w:val="20"/>
              </w:rPr>
              <w:t>L0411遵纪守法：遵守校纪校规，具备法律意识。</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5"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L0412 诚实守信：为人诚实，信守承诺，尽职尽责。</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LO413爱岗敬业：了解与专业相关的法律法规，充分认识本专业就业岗位在社会经济中的作用和地位，在学习和社会实践中遵守职业规范，具备职业道德操守。</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7"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LO414身心健康，能承受学习和生活中的压力。</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 w:hRule="atLeast"/>
        </w:trPr>
        <w:tc>
          <w:tcPr>
            <w:tcW w:w="817" w:type="dxa"/>
            <w:vMerge w:val="restart"/>
            <w:noWrap w:val="0"/>
            <w:vAlign w:val="center"/>
          </w:tcPr>
          <w:p>
            <w:pPr>
              <w:widowControl/>
              <w:rPr>
                <w:kern w:val="0"/>
                <w:sz w:val="20"/>
                <w:szCs w:val="20"/>
              </w:rPr>
            </w:pPr>
            <w:r>
              <w:rPr>
                <w:rFonts w:hint="eastAsia" w:ascii="仿宋" w:hAnsi="仿宋" w:eastAsia="仿宋" w:cs="宋体"/>
                <w:color w:val="000000"/>
                <w:kern w:val="0"/>
                <w:sz w:val="24"/>
                <w:szCs w:val="24"/>
              </w:rPr>
              <w:t>LO51：</w:t>
            </w:r>
          </w:p>
        </w:tc>
        <w:tc>
          <w:tcPr>
            <w:tcW w:w="6095" w:type="dxa"/>
            <w:noWrap w:val="0"/>
            <w:vAlign w:val="center"/>
          </w:tcPr>
          <w:p>
            <w:pPr>
              <w:widowControl/>
              <w:rPr>
                <w:kern w:val="0"/>
                <w:sz w:val="20"/>
                <w:szCs w:val="20"/>
              </w:rPr>
            </w:pPr>
            <w:r>
              <w:rPr>
                <w:rFonts w:hint="eastAsia"/>
                <w:kern w:val="0"/>
                <w:sz w:val="20"/>
                <w:szCs w:val="20"/>
              </w:rPr>
              <w:t>L0511在集体活动中能主动担任自己的角色，与其他成员密切合作，共同完成任务。</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L0512 有质疑精神，能有逻辑的分析与批判。</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L0513 能用创新的方法或者多种方法解决复杂问题或真实问题。</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L0514了解行业前沿知识技术。</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0" w:hRule="atLeast"/>
        </w:trPr>
        <w:tc>
          <w:tcPr>
            <w:tcW w:w="817" w:type="dxa"/>
            <w:vMerge w:val="restart"/>
            <w:noWrap w:val="0"/>
            <w:vAlign w:val="center"/>
          </w:tcPr>
          <w:p>
            <w:pPr>
              <w:widowControl/>
              <w:rPr>
                <w:kern w:val="0"/>
                <w:sz w:val="20"/>
                <w:szCs w:val="20"/>
              </w:rPr>
            </w:pPr>
            <w:r>
              <w:rPr>
                <w:rFonts w:hint="eastAsia" w:ascii="仿宋" w:hAnsi="仿宋" w:eastAsia="仿宋" w:cs="宋体"/>
                <w:color w:val="000000"/>
                <w:kern w:val="0"/>
                <w:sz w:val="24"/>
                <w:szCs w:val="24"/>
              </w:rPr>
              <w:t>LO61：</w:t>
            </w:r>
          </w:p>
        </w:tc>
        <w:tc>
          <w:tcPr>
            <w:tcW w:w="6095" w:type="dxa"/>
            <w:noWrap w:val="0"/>
            <w:vAlign w:val="center"/>
          </w:tcPr>
          <w:p>
            <w:pPr>
              <w:widowControl/>
              <w:rPr>
                <w:kern w:val="0"/>
                <w:sz w:val="20"/>
                <w:szCs w:val="20"/>
              </w:rPr>
            </w:pPr>
            <w:r>
              <w:rPr>
                <w:rFonts w:hint="eastAsia"/>
                <w:kern w:val="0"/>
                <w:sz w:val="20"/>
                <w:szCs w:val="20"/>
              </w:rPr>
              <w:t>LO611能够根据需要进行专业文献检索。</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0"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LO612能够使用适合的工具来搜集信息，并对信息加以分析、鉴别、判断与整合。</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0"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LO613熟练使用计算机，掌握常用办公软件。</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 w:hRule="atLeast"/>
        </w:trPr>
        <w:tc>
          <w:tcPr>
            <w:tcW w:w="817" w:type="dxa"/>
            <w:vMerge w:val="restart"/>
            <w:noWrap w:val="0"/>
            <w:vAlign w:val="center"/>
          </w:tcPr>
          <w:p>
            <w:pPr>
              <w:widowControl/>
              <w:rPr>
                <w:kern w:val="0"/>
                <w:sz w:val="20"/>
                <w:szCs w:val="20"/>
              </w:rPr>
            </w:pPr>
            <w:r>
              <w:rPr>
                <w:rFonts w:hint="eastAsia" w:ascii="仿宋" w:hAnsi="仿宋" w:eastAsia="仿宋" w:cs="宋体"/>
                <w:color w:val="000000"/>
                <w:kern w:val="0"/>
                <w:sz w:val="24"/>
                <w:szCs w:val="24"/>
              </w:rPr>
              <w:t>LO71：</w:t>
            </w:r>
          </w:p>
        </w:tc>
        <w:tc>
          <w:tcPr>
            <w:tcW w:w="6095" w:type="dxa"/>
            <w:noWrap w:val="0"/>
            <w:vAlign w:val="center"/>
          </w:tcPr>
          <w:p>
            <w:pPr>
              <w:widowControl/>
              <w:rPr>
                <w:kern w:val="0"/>
                <w:sz w:val="20"/>
                <w:szCs w:val="20"/>
              </w:rPr>
            </w:pPr>
            <w:r>
              <w:rPr>
                <w:rFonts w:hint="eastAsia"/>
                <w:kern w:val="0"/>
                <w:sz w:val="20"/>
                <w:szCs w:val="20"/>
              </w:rPr>
              <w:t>LO711爱党爱国：了解祖国的优秀传统文化和革命历史，构建爱党爱国的理想信念。</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LO712助人为乐：富于爱心，懂得感恩，具备助人为乐的品质。</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LO713奉献社会：具有服务企业、服务社会的意愿和行为能力。</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LO714爱护环境：具有爱护环境的意识和与自然和谐相处的环保理念。</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5" w:hRule="atLeast"/>
        </w:trPr>
        <w:tc>
          <w:tcPr>
            <w:tcW w:w="817" w:type="dxa"/>
            <w:vMerge w:val="restart"/>
            <w:noWrap w:val="0"/>
            <w:vAlign w:val="center"/>
          </w:tcPr>
          <w:p>
            <w:pPr>
              <w:widowControl/>
              <w:rPr>
                <w:kern w:val="0"/>
                <w:sz w:val="20"/>
                <w:szCs w:val="20"/>
              </w:rPr>
            </w:pPr>
            <w:r>
              <w:rPr>
                <w:rFonts w:hint="eastAsia" w:ascii="仿宋" w:hAnsi="仿宋" w:eastAsia="仿宋" w:cs="宋体"/>
                <w:color w:val="000000"/>
                <w:kern w:val="0"/>
                <w:sz w:val="24"/>
                <w:szCs w:val="24"/>
              </w:rPr>
              <w:t>LO81：</w:t>
            </w:r>
          </w:p>
        </w:tc>
        <w:tc>
          <w:tcPr>
            <w:tcW w:w="6095" w:type="dxa"/>
            <w:noWrap w:val="0"/>
            <w:vAlign w:val="center"/>
          </w:tcPr>
          <w:p>
            <w:pPr>
              <w:widowControl/>
              <w:rPr>
                <w:kern w:val="0"/>
                <w:sz w:val="20"/>
                <w:szCs w:val="20"/>
              </w:rPr>
            </w:pPr>
            <w:r>
              <w:rPr>
                <w:rFonts w:hint="eastAsia"/>
                <w:kern w:val="0"/>
                <w:sz w:val="20"/>
                <w:szCs w:val="20"/>
              </w:rPr>
              <w:t>LO811具备外语表达沟通能力，达到本专业的要求。</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5"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LO812理解其他国家历史文化，有跨文化交流能力。</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5"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LO813有国际竞争与合作意识。</w:t>
            </w:r>
          </w:p>
        </w:tc>
        <w:tc>
          <w:tcPr>
            <w:tcW w:w="618" w:type="dxa"/>
            <w:noWrap w:val="0"/>
            <w:vAlign w:val="center"/>
          </w:tcPr>
          <w:p>
            <w:pPr>
              <w:widowControl/>
              <w:jc w:val="center"/>
              <w:rPr>
                <w:rFonts w:ascii="仿宋" w:hAnsi="仿宋" w:eastAsia="仿宋" w:cs="宋体"/>
                <w:color w:val="000000"/>
                <w:kern w:val="0"/>
                <w:sz w:val="24"/>
                <w:szCs w:val="20"/>
              </w:rPr>
            </w:pPr>
          </w:p>
        </w:tc>
      </w:tr>
    </w:tbl>
    <w:p>
      <w:pPr>
        <w:ind w:firstLine="420" w:firstLineChars="200"/>
        <w:rPr>
          <w:rFonts w:hint="eastAsia"/>
        </w:rPr>
      </w:pPr>
    </w:p>
    <w:p>
      <w:pPr>
        <w:ind w:firstLine="420" w:firstLineChars="200"/>
      </w:pPr>
      <w:r>
        <w:rPr>
          <w:rFonts w:hint="eastAsia"/>
        </w:rPr>
        <w:t>备注：LO=</w:t>
      </w:r>
      <w:r>
        <w:t>learning outcomes</w:t>
      </w:r>
      <w:r>
        <w:rPr>
          <w:rFonts w:hint="eastAsia"/>
        </w:rPr>
        <w:t>（学习成果）</w:t>
      </w:r>
    </w:p>
    <w:tbl>
      <w:tblPr>
        <w:tblStyle w:val="5"/>
        <w:tblpPr w:leftFromText="180" w:rightFromText="180" w:vertAnchor="text" w:horzAnchor="page" w:tblpX="2163" w:tblpY="1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3"/>
        <w:gridCol w:w="2512"/>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535" w:type="dxa"/>
            <w:noWrap w:val="0"/>
            <w:vAlign w:val="top"/>
          </w:tcPr>
          <w:p>
            <w:pPr>
              <w:snapToGrid w:val="0"/>
              <w:spacing w:line="288" w:lineRule="auto"/>
              <w:jc w:val="center"/>
              <w:rPr>
                <w:b/>
                <w:color w:val="000000"/>
                <w:sz w:val="20"/>
                <w:szCs w:val="20"/>
              </w:rPr>
            </w:pPr>
            <w:r>
              <w:rPr>
                <w:rFonts w:hint="eastAsia"/>
                <w:b/>
                <w:color w:val="000000"/>
                <w:sz w:val="20"/>
                <w:szCs w:val="20"/>
              </w:rPr>
              <w:t>序号</w:t>
            </w:r>
          </w:p>
        </w:tc>
        <w:tc>
          <w:tcPr>
            <w:tcW w:w="1133" w:type="dxa"/>
            <w:noWrap w:val="0"/>
            <w:vAlign w:val="top"/>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12" w:type="dxa"/>
            <w:noWrap w:val="0"/>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noWrap w:val="0"/>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noWrap w:val="0"/>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094" w:hRule="atLeast"/>
        </w:trPr>
        <w:tc>
          <w:tcPr>
            <w:tcW w:w="535" w:type="dxa"/>
            <w:noWrap w:val="0"/>
            <w:vAlign w:val="top"/>
          </w:tcPr>
          <w:p>
            <w:pP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1133" w:type="dxa"/>
            <w:noWrap w:val="0"/>
            <w:vAlign w:val="top"/>
          </w:tcPr>
          <w:p>
            <w:pPr>
              <w:rPr>
                <w:rFonts w:hint="eastAsia" w:ascii="仿宋" w:hAnsi="仿宋" w:eastAsia="仿宋" w:cs="宋体"/>
                <w:color w:val="000000"/>
                <w:kern w:val="0"/>
                <w:sz w:val="24"/>
              </w:rPr>
            </w:pPr>
            <w:r>
              <w:rPr>
                <w:rFonts w:hint="eastAsia" w:ascii="仿宋" w:hAnsi="仿宋" w:eastAsia="仿宋" w:cs="宋体"/>
                <w:color w:val="000000"/>
                <w:kern w:val="0"/>
                <w:sz w:val="24"/>
              </w:rPr>
              <w:t>LO211</w:t>
            </w:r>
          </w:p>
        </w:tc>
        <w:tc>
          <w:tcPr>
            <w:tcW w:w="2512" w:type="dxa"/>
            <w:noWrap w:val="0"/>
            <w:vAlign w:val="center"/>
          </w:tcPr>
          <w:p>
            <w:pPr>
              <w:jc w:val="left"/>
              <w:rPr>
                <w:rFonts w:hint="eastAsia" w:ascii="仿宋" w:hAnsi="仿宋" w:eastAsia="仿宋" w:cs="宋体"/>
                <w:color w:val="000000"/>
                <w:kern w:val="0"/>
                <w:sz w:val="24"/>
              </w:rPr>
            </w:pPr>
            <w:r>
              <w:rPr>
                <w:rFonts w:hint="eastAsia" w:ascii="仿宋" w:hAnsi="仿宋" w:eastAsia="仿宋" w:cs="宋体"/>
                <w:color w:val="000000"/>
                <w:kern w:val="0"/>
                <w:sz w:val="24"/>
              </w:rPr>
              <w:t>要求学生按照老师的进度要求，认真完成老师布置的自学作业。</w:t>
            </w:r>
          </w:p>
        </w:tc>
        <w:tc>
          <w:tcPr>
            <w:tcW w:w="2199" w:type="dxa"/>
            <w:noWrap w:val="0"/>
            <w:vAlign w:val="center"/>
          </w:tcPr>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经常督促</w:t>
            </w:r>
          </w:p>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严格检查</w:t>
            </w:r>
          </w:p>
        </w:tc>
        <w:tc>
          <w:tcPr>
            <w:tcW w:w="1276" w:type="dxa"/>
            <w:noWrap w:val="0"/>
            <w:vAlign w:val="top"/>
          </w:tcPr>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每月一次堂测，检查学生自学结果。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226" w:hRule="atLeast"/>
        </w:trPr>
        <w:tc>
          <w:tcPr>
            <w:tcW w:w="535" w:type="dxa"/>
            <w:noWrap w:val="0"/>
            <w:vAlign w:val="top"/>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33" w:type="dxa"/>
            <w:noWrap w:val="0"/>
            <w:vAlign w:val="top"/>
          </w:tcPr>
          <w:p>
            <w:pPr>
              <w:rPr>
                <w:rFonts w:hint="eastAsia" w:ascii="仿宋" w:hAnsi="仿宋" w:eastAsia="仿宋" w:cs="宋体"/>
                <w:color w:val="000000"/>
                <w:kern w:val="0"/>
                <w:sz w:val="24"/>
              </w:rPr>
            </w:pPr>
            <w:r>
              <w:rPr>
                <w:rFonts w:hint="eastAsia" w:ascii="仿宋" w:hAnsi="仿宋" w:eastAsia="仿宋" w:cs="宋体"/>
                <w:color w:val="000000"/>
                <w:kern w:val="0"/>
                <w:sz w:val="24"/>
              </w:rPr>
              <w:t>LO313</w:t>
            </w:r>
          </w:p>
        </w:tc>
        <w:tc>
          <w:tcPr>
            <w:tcW w:w="2512" w:type="dxa"/>
            <w:noWrap w:val="0"/>
            <w:vAlign w:val="top"/>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掌握各项日语阅读技能，提高分析归纳、推理检验等逻辑思维能力。对文章涉及的话题有自己的想法，对文章观点进行简单的评价。</w:t>
            </w:r>
          </w:p>
        </w:tc>
        <w:tc>
          <w:tcPr>
            <w:tcW w:w="2199" w:type="dxa"/>
            <w:noWrap w:val="0"/>
            <w:vAlign w:val="center"/>
          </w:tcPr>
          <w:p>
            <w:pPr>
              <w:snapToGrid w:val="0"/>
              <w:spacing w:line="288" w:lineRule="auto"/>
              <w:jc w:val="left"/>
              <w:rPr>
                <w:rFonts w:hint="eastAsia" w:ascii="仿宋" w:hAnsi="仿宋" w:eastAsia="仿宋" w:cs="宋体"/>
                <w:color w:val="000000"/>
                <w:kern w:val="0"/>
                <w:sz w:val="24"/>
              </w:rPr>
            </w:pPr>
            <w:r>
              <w:rPr>
                <w:rFonts w:hint="eastAsia" w:ascii="仿宋" w:hAnsi="仿宋" w:eastAsia="仿宋" w:cs="宋体"/>
                <w:color w:val="000000"/>
                <w:kern w:val="0"/>
                <w:sz w:val="24"/>
                <w:szCs w:val="24"/>
              </w:rPr>
              <w:t>着重加强对不同考查点的分类阅读以及长篇文章阅读方面的训练。</w:t>
            </w:r>
          </w:p>
        </w:tc>
        <w:tc>
          <w:tcPr>
            <w:tcW w:w="1276" w:type="dxa"/>
            <w:noWrap w:val="0"/>
            <w:vAlign w:val="center"/>
          </w:tcPr>
          <w:p>
            <w:pPr>
              <w:snapToGrid w:val="0"/>
              <w:spacing w:line="288" w:lineRule="auto"/>
              <w:jc w:val="left"/>
              <w:rPr>
                <w:rFonts w:hint="eastAsia" w:ascii="仿宋" w:hAnsi="仿宋" w:eastAsia="仿宋" w:cs="宋体"/>
                <w:color w:val="000000"/>
                <w:kern w:val="0"/>
                <w:sz w:val="24"/>
              </w:rPr>
            </w:pPr>
            <w:r>
              <w:rPr>
                <w:rFonts w:hint="eastAsia" w:ascii="仿宋" w:hAnsi="仿宋" w:eastAsia="仿宋" w:cs="宋体"/>
                <w:color w:val="000000"/>
                <w:kern w:val="0"/>
                <w:sz w:val="24"/>
              </w:rPr>
              <w:t>判断学生阅读理解的正误。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99" w:hRule="atLeast"/>
        </w:trPr>
        <w:tc>
          <w:tcPr>
            <w:tcW w:w="535" w:type="dxa"/>
            <w:noWrap w:val="0"/>
            <w:vAlign w:val="top"/>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33" w:type="dxa"/>
            <w:noWrap w:val="0"/>
            <w:vAlign w:val="top"/>
          </w:tcPr>
          <w:p>
            <w:pPr>
              <w:rPr>
                <w:rFonts w:ascii="仿宋" w:hAnsi="仿宋" w:eastAsia="仿宋" w:cs="宋体"/>
                <w:color w:val="000000"/>
                <w:kern w:val="0"/>
                <w:sz w:val="24"/>
              </w:rPr>
            </w:pPr>
            <w:r>
              <w:rPr>
                <w:rFonts w:hint="eastAsia" w:ascii="仿宋" w:hAnsi="仿宋" w:eastAsia="仿宋" w:cs="宋体"/>
                <w:color w:val="000000"/>
                <w:kern w:val="0"/>
                <w:sz w:val="24"/>
              </w:rPr>
              <w:t>LO314</w:t>
            </w:r>
          </w:p>
        </w:tc>
        <w:tc>
          <w:tcPr>
            <w:tcW w:w="2512" w:type="dxa"/>
            <w:noWrap w:val="0"/>
            <w:vAlign w:val="top"/>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要求学生了解日语写作的基础知识，摆脱汉语的思维方式，用地道的日语进行表情达意，具备必要的应用文写作技能。</w:t>
            </w:r>
          </w:p>
        </w:tc>
        <w:tc>
          <w:tcPr>
            <w:tcW w:w="2199" w:type="dxa"/>
            <w:noWrap w:val="0"/>
            <w:vAlign w:val="top"/>
          </w:tcPr>
          <w:p>
            <w:pPr>
              <w:snapToGrid w:val="0"/>
              <w:spacing w:line="288" w:lineRule="auto"/>
              <w:jc w:val="left"/>
              <w:rPr>
                <w:rFonts w:ascii="仿宋" w:hAnsi="仿宋" w:eastAsia="仿宋" w:cs="宋体"/>
                <w:color w:val="000000"/>
                <w:kern w:val="0"/>
                <w:sz w:val="24"/>
                <w:szCs w:val="24"/>
              </w:rPr>
            </w:pPr>
          </w:p>
          <w:p>
            <w:pPr>
              <w:snapToGrid w:val="0"/>
              <w:spacing w:line="288"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要求学生完成专四写作练习。</w:t>
            </w:r>
          </w:p>
        </w:tc>
        <w:tc>
          <w:tcPr>
            <w:tcW w:w="1276" w:type="dxa"/>
            <w:noWrap w:val="0"/>
            <w:vAlign w:val="center"/>
          </w:tcPr>
          <w:p>
            <w:pPr>
              <w:snapToGrid w:val="0"/>
              <w:spacing w:line="288" w:lineRule="auto"/>
              <w:jc w:val="left"/>
              <w:rPr>
                <w:rFonts w:hint="eastAsia" w:ascii="仿宋" w:hAnsi="仿宋" w:cs="宋体"/>
                <w:color w:val="000000"/>
                <w:kern w:val="0"/>
                <w:sz w:val="24"/>
                <w:szCs w:val="24"/>
              </w:rPr>
            </w:pPr>
            <w:r>
              <w:rPr>
                <w:rFonts w:hint="eastAsia" w:ascii="仿宋" w:hAnsi="仿宋" w:eastAsia="仿宋" w:cs="宋体"/>
                <w:color w:val="000000"/>
                <w:kern w:val="0"/>
                <w:sz w:val="24"/>
                <w:szCs w:val="24"/>
                <w:lang w:eastAsia="ja-JP"/>
              </w:rPr>
              <w:t>对学生的作文进行指导。</w:t>
            </w:r>
          </w:p>
        </w:tc>
      </w:tr>
    </w:tbl>
    <w:p>
      <w:pPr>
        <w:widowControl/>
        <w:spacing w:before="156" w:beforeLines="50" w:after="156" w:afterLines="50" w:line="288" w:lineRule="auto"/>
        <w:ind w:firstLine="360" w:firstLineChars="150"/>
        <w:jc w:val="left"/>
        <w:rPr>
          <w:rFonts w:hint="eastAsia" w:ascii="黑体" w:hAnsi="宋体" w:eastAsia="黑体"/>
          <w:sz w:val="24"/>
          <w:highlight w:val="yellow"/>
          <w:lang w:eastAsia="ja-JP"/>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课程内容（必填项）</w:t>
      </w:r>
    </w:p>
    <w:p>
      <w:pPr>
        <w:snapToGrid w:val="0"/>
        <w:spacing w:line="288" w:lineRule="auto"/>
        <w:ind w:firstLine="400" w:firstLineChars="200"/>
        <w:rPr>
          <w:rFonts w:hint="eastAsia"/>
          <w:bCs/>
          <w:sz w:val="20"/>
          <w:szCs w:val="20"/>
        </w:rPr>
      </w:pPr>
      <w:r>
        <w:rPr>
          <w:rFonts w:hint="eastAsia"/>
          <w:bCs/>
          <w:sz w:val="20"/>
          <w:szCs w:val="20"/>
        </w:rPr>
        <w:t xml:space="preserve">本课程共计32学时，周课时为2学时，按专题开展教学。本学期内容大致可分为五个单元： </w:t>
      </w:r>
    </w:p>
    <w:p>
      <w:pPr>
        <w:snapToGrid w:val="0"/>
        <w:spacing w:line="288" w:lineRule="auto"/>
        <w:rPr>
          <w:bCs/>
          <w:sz w:val="20"/>
          <w:szCs w:val="20"/>
        </w:rPr>
      </w:pPr>
      <w:r>
        <w:rPr>
          <w:rFonts w:hint="eastAsia"/>
          <w:bCs/>
          <w:sz w:val="20"/>
          <w:szCs w:val="20"/>
        </w:rPr>
        <w:t>文字和词汇、语法、阅读理解、</w:t>
      </w:r>
      <w:r>
        <w:rPr>
          <w:rFonts w:hint="eastAsia" w:eastAsia="MS Mincho"/>
          <w:bCs/>
          <w:sz w:val="20"/>
          <w:szCs w:val="20"/>
        </w:rPr>
        <w:t>听力</w:t>
      </w:r>
      <w:r>
        <w:rPr>
          <w:rFonts w:hint="eastAsia" w:ascii="宋体" w:hAnsi="宋体" w:cs="宋体"/>
          <w:bCs/>
          <w:sz w:val="20"/>
          <w:szCs w:val="20"/>
        </w:rPr>
        <w:t>训练、写作。</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214"/>
        <w:gridCol w:w="2229"/>
        <w:gridCol w:w="233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0" w:type="dxa"/>
            <w:noWrap w:val="0"/>
            <w:vAlign w:val="center"/>
          </w:tcPr>
          <w:p>
            <w:pPr>
              <w:snapToGrid w:val="0"/>
              <w:spacing w:line="288" w:lineRule="auto"/>
              <w:jc w:val="center"/>
              <w:rPr>
                <w:b/>
                <w:sz w:val="20"/>
                <w:szCs w:val="20"/>
              </w:rPr>
            </w:pPr>
            <w:r>
              <w:rPr>
                <w:rFonts w:hint="eastAsia"/>
                <w:b/>
                <w:sz w:val="20"/>
                <w:szCs w:val="20"/>
              </w:rPr>
              <w:t>单元</w:t>
            </w:r>
          </w:p>
        </w:tc>
        <w:tc>
          <w:tcPr>
            <w:tcW w:w="1214" w:type="dxa"/>
            <w:noWrap w:val="0"/>
            <w:vAlign w:val="center"/>
          </w:tcPr>
          <w:p>
            <w:pPr>
              <w:snapToGrid w:val="0"/>
              <w:spacing w:line="288" w:lineRule="auto"/>
              <w:jc w:val="center"/>
              <w:rPr>
                <w:b/>
                <w:sz w:val="20"/>
                <w:szCs w:val="20"/>
              </w:rPr>
            </w:pPr>
            <w:r>
              <w:rPr>
                <w:rFonts w:hint="eastAsia"/>
                <w:b/>
                <w:sz w:val="20"/>
                <w:szCs w:val="20"/>
              </w:rPr>
              <w:t>内容构成</w:t>
            </w:r>
          </w:p>
        </w:tc>
        <w:tc>
          <w:tcPr>
            <w:tcW w:w="2229" w:type="dxa"/>
            <w:noWrap w:val="0"/>
            <w:vAlign w:val="center"/>
          </w:tcPr>
          <w:p>
            <w:pPr>
              <w:snapToGrid w:val="0"/>
              <w:spacing w:line="288" w:lineRule="auto"/>
              <w:jc w:val="center"/>
              <w:rPr>
                <w:b/>
                <w:sz w:val="20"/>
                <w:szCs w:val="20"/>
              </w:rPr>
            </w:pPr>
            <w:r>
              <w:rPr>
                <w:rFonts w:hint="eastAsia"/>
                <w:b/>
                <w:sz w:val="20"/>
                <w:szCs w:val="20"/>
              </w:rPr>
              <w:t>知识点</w:t>
            </w:r>
          </w:p>
          <w:p>
            <w:pPr>
              <w:snapToGrid w:val="0"/>
              <w:spacing w:line="288" w:lineRule="auto"/>
              <w:jc w:val="center"/>
              <w:rPr>
                <w:b/>
                <w:sz w:val="20"/>
                <w:szCs w:val="20"/>
              </w:rPr>
            </w:pPr>
            <w:r>
              <w:rPr>
                <w:rFonts w:hint="eastAsia"/>
                <w:b/>
                <w:sz w:val="20"/>
                <w:szCs w:val="20"/>
              </w:rPr>
              <w:t>（运用）</w:t>
            </w:r>
          </w:p>
        </w:tc>
        <w:tc>
          <w:tcPr>
            <w:tcW w:w="2335" w:type="dxa"/>
            <w:noWrap w:val="0"/>
            <w:vAlign w:val="center"/>
          </w:tcPr>
          <w:p>
            <w:pPr>
              <w:snapToGrid w:val="0"/>
              <w:spacing w:line="288" w:lineRule="auto"/>
              <w:jc w:val="center"/>
              <w:rPr>
                <w:b/>
                <w:sz w:val="20"/>
                <w:szCs w:val="20"/>
              </w:rPr>
            </w:pPr>
            <w:r>
              <w:rPr>
                <w:rFonts w:hint="eastAsia"/>
                <w:b/>
                <w:sz w:val="20"/>
                <w:szCs w:val="20"/>
              </w:rPr>
              <w:t>教学重难点</w:t>
            </w:r>
          </w:p>
        </w:tc>
        <w:tc>
          <w:tcPr>
            <w:tcW w:w="2304" w:type="dxa"/>
            <w:noWrap w:val="0"/>
            <w:vAlign w:val="center"/>
          </w:tcPr>
          <w:p>
            <w:pPr>
              <w:snapToGrid w:val="0"/>
              <w:spacing w:line="288" w:lineRule="auto"/>
              <w:jc w:val="center"/>
              <w:rPr>
                <w:b/>
                <w:sz w:val="20"/>
                <w:szCs w:val="20"/>
              </w:rPr>
            </w:pPr>
            <w:r>
              <w:rPr>
                <w:rFonts w:hint="eastAsia"/>
                <w:b/>
                <w:sz w:val="20"/>
                <w:szCs w:val="20"/>
              </w:rPr>
              <w:t>知识能力要求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440" w:type="dxa"/>
            <w:noWrap w:val="0"/>
            <w:vAlign w:val="center"/>
          </w:tcPr>
          <w:p>
            <w:pPr>
              <w:snapToGrid w:val="0"/>
              <w:spacing w:line="288" w:lineRule="auto"/>
              <w:jc w:val="center"/>
              <w:rPr>
                <w:bCs/>
                <w:sz w:val="20"/>
                <w:szCs w:val="20"/>
              </w:rPr>
            </w:pPr>
            <w:r>
              <w:rPr>
                <w:rFonts w:hint="eastAsia"/>
                <w:bCs/>
                <w:sz w:val="20"/>
                <w:szCs w:val="20"/>
              </w:rPr>
              <w:t>1</w:t>
            </w:r>
          </w:p>
        </w:tc>
        <w:tc>
          <w:tcPr>
            <w:tcW w:w="1214" w:type="dxa"/>
            <w:noWrap w:val="0"/>
            <w:vAlign w:val="top"/>
          </w:tcPr>
          <w:p>
            <w:pPr>
              <w:snapToGrid w:val="0"/>
              <w:spacing w:line="288" w:lineRule="auto"/>
              <w:rPr>
                <w:rFonts w:eastAsia="MS Mincho"/>
                <w:bCs/>
                <w:sz w:val="20"/>
                <w:szCs w:val="20"/>
                <w:lang w:eastAsia="ja-JP"/>
              </w:rPr>
            </w:pPr>
            <w:r>
              <w:rPr>
                <w:rFonts w:hint="eastAsia" w:eastAsia="MS Mincho"/>
                <w:bCs/>
                <w:sz w:val="20"/>
                <w:szCs w:val="20"/>
                <w:lang w:eastAsia="ja-JP"/>
              </w:rPr>
              <w:t>　</w:t>
            </w:r>
          </w:p>
          <w:p>
            <w:pPr>
              <w:snapToGrid w:val="0"/>
              <w:spacing w:line="288" w:lineRule="auto"/>
              <w:rPr>
                <w:rFonts w:eastAsia="MS Mincho"/>
                <w:bCs/>
                <w:sz w:val="20"/>
                <w:szCs w:val="20"/>
                <w:lang w:eastAsia="ja-JP"/>
              </w:rPr>
            </w:pPr>
            <w:r>
              <w:rPr>
                <w:rFonts w:hint="eastAsia"/>
                <w:bCs/>
                <w:sz w:val="20"/>
                <w:szCs w:val="20"/>
                <w:lang w:eastAsia="ja-JP"/>
              </w:rPr>
              <w:t>文字</w:t>
            </w:r>
            <w:r>
              <w:rPr>
                <w:rFonts w:hint="eastAsia"/>
                <w:bCs/>
                <w:sz w:val="20"/>
                <w:szCs w:val="20"/>
              </w:rPr>
              <w:t>、</w:t>
            </w:r>
            <w:r>
              <w:rPr>
                <w:rFonts w:hint="eastAsia"/>
                <w:bCs/>
                <w:sz w:val="20"/>
                <w:szCs w:val="20"/>
                <w:lang w:eastAsia="ja-JP"/>
              </w:rPr>
              <w:t>词汇</w:t>
            </w:r>
          </w:p>
        </w:tc>
        <w:tc>
          <w:tcPr>
            <w:tcW w:w="2229" w:type="dxa"/>
            <w:noWrap w:val="0"/>
            <w:vAlign w:val="top"/>
          </w:tcPr>
          <w:p>
            <w:pPr>
              <w:snapToGrid w:val="0"/>
              <w:spacing w:line="288" w:lineRule="auto"/>
              <w:rPr>
                <w:rFonts w:hint="eastAsia"/>
                <w:bCs/>
                <w:sz w:val="20"/>
                <w:szCs w:val="20"/>
              </w:rPr>
            </w:pPr>
            <w:r>
              <w:rPr>
                <w:rFonts w:hint="eastAsia"/>
                <w:bCs/>
                <w:sz w:val="20"/>
                <w:szCs w:val="20"/>
              </w:rPr>
              <w:t>教学大纲中所示汉字的音读、训读的读法；</w:t>
            </w:r>
          </w:p>
          <w:p>
            <w:pPr>
              <w:snapToGrid w:val="0"/>
              <w:spacing w:line="288" w:lineRule="auto"/>
              <w:rPr>
                <w:rFonts w:hint="eastAsia"/>
                <w:bCs/>
                <w:sz w:val="20"/>
                <w:szCs w:val="20"/>
              </w:rPr>
            </w:pPr>
            <w:r>
              <w:rPr>
                <w:rFonts w:hint="eastAsia"/>
                <w:bCs/>
                <w:sz w:val="20"/>
                <w:szCs w:val="20"/>
              </w:rPr>
              <w:t>教学大纲所示外来语的意思和用法；</w:t>
            </w:r>
          </w:p>
          <w:p>
            <w:pPr>
              <w:snapToGrid w:val="0"/>
              <w:spacing w:line="288" w:lineRule="auto"/>
              <w:rPr>
                <w:rFonts w:hint="eastAsia"/>
                <w:bCs/>
                <w:sz w:val="20"/>
                <w:szCs w:val="20"/>
              </w:rPr>
            </w:pPr>
            <w:r>
              <w:rPr>
                <w:rFonts w:hint="eastAsia"/>
                <w:bCs/>
                <w:sz w:val="20"/>
                <w:szCs w:val="20"/>
              </w:rPr>
              <w:t>教学大纲所示惯用句的意思和用法。</w:t>
            </w:r>
          </w:p>
        </w:tc>
        <w:tc>
          <w:tcPr>
            <w:tcW w:w="2335" w:type="dxa"/>
            <w:vMerge w:val="restart"/>
            <w:noWrap w:val="0"/>
            <w:vAlign w:val="top"/>
          </w:tcPr>
          <w:p>
            <w:pPr>
              <w:snapToGrid w:val="0"/>
              <w:spacing w:line="288" w:lineRule="auto"/>
              <w:rPr>
                <w:bCs/>
                <w:sz w:val="20"/>
                <w:szCs w:val="20"/>
              </w:rPr>
            </w:pPr>
            <w:r>
              <w:rPr>
                <w:rFonts w:hint="eastAsia"/>
                <w:bCs/>
                <w:sz w:val="20"/>
                <w:szCs w:val="20"/>
              </w:rPr>
              <w:t>教学大纲所示5500个词汇的读写以及意思、基本用法。</w:t>
            </w:r>
          </w:p>
        </w:tc>
        <w:tc>
          <w:tcPr>
            <w:tcW w:w="2304" w:type="dxa"/>
            <w:noWrap w:val="0"/>
            <w:vAlign w:val="top"/>
          </w:tcPr>
          <w:p>
            <w:pPr>
              <w:snapToGrid w:val="0"/>
              <w:spacing w:line="288" w:lineRule="auto"/>
              <w:rPr>
                <w:rFonts w:hint="eastAsia"/>
                <w:bCs/>
                <w:sz w:val="20"/>
                <w:szCs w:val="20"/>
              </w:rPr>
            </w:pPr>
            <w:r>
              <w:rPr>
                <w:rFonts w:hint="eastAsia"/>
                <w:bCs/>
                <w:sz w:val="20"/>
                <w:szCs w:val="20"/>
              </w:rPr>
              <w:t>熟记单词和惯用句</w:t>
            </w:r>
          </w:p>
          <w:p>
            <w:pPr>
              <w:snapToGrid w:val="0"/>
              <w:spacing w:line="288" w:lineRule="auto"/>
              <w:rPr>
                <w:bCs/>
                <w:sz w:val="20"/>
                <w:szCs w:val="20"/>
              </w:rPr>
            </w:pPr>
            <w:r>
              <w:rPr>
                <w:rFonts w:hint="eastAsia"/>
                <w:bCs/>
                <w:sz w:val="20"/>
                <w:szCs w:val="20"/>
              </w:rPr>
              <w:t>运用单词和惯用句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1" w:hRule="atLeast"/>
        </w:trPr>
        <w:tc>
          <w:tcPr>
            <w:tcW w:w="440" w:type="dxa"/>
            <w:noWrap w:val="0"/>
            <w:vAlign w:val="center"/>
          </w:tcPr>
          <w:p>
            <w:pPr>
              <w:snapToGrid w:val="0"/>
              <w:spacing w:line="288" w:lineRule="auto"/>
              <w:jc w:val="center"/>
              <w:rPr>
                <w:bCs/>
                <w:sz w:val="20"/>
                <w:szCs w:val="20"/>
              </w:rPr>
            </w:pPr>
            <w:r>
              <w:rPr>
                <w:rFonts w:hint="eastAsia"/>
                <w:bCs/>
                <w:sz w:val="20"/>
                <w:szCs w:val="20"/>
              </w:rPr>
              <w:t>2</w:t>
            </w:r>
          </w:p>
        </w:tc>
        <w:tc>
          <w:tcPr>
            <w:tcW w:w="1214" w:type="dxa"/>
            <w:noWrap w:val="0"/>
            <w:vAlign w:val="center"/>
          </w:tcPr>
          <w:p>
            <w:pPr>
              <w:snapToGrid w:val="0"/>
              <w:spacing w:line="288" w:lineRule="auto"/>
              <w:jc w:val="center"/>
              <w:rPr>
                <w:rFonts w:eastAsia="MS Mincho"/>
                <w:bCs/>
                <w:sz w:val="20"/>
                <w:szCs w:val="20"/>
                <w:lang w:eastAsia="ja-JP"/>
              </w:rPr>
            </w:pPr>
          </w:p>
          <w:p>
            <w:pPr>
              <w:snapToGrid w:val="0"/>
              <w:spacing w:line="288" w:lineRule="auto"/>
              <w:jc w:val="center"/>
              <w:rPr>
                <w:rFonts w:eastAsia="MS Mincho"/>
                <w:bCs/>
                <w:sz w:val="20"/>
                <w:szCs w:val="20"/>
                <w:lang w:eastAsia="ja-JP"/>
              </w:rPr>
            </w:pPr>
            <w:r>
              <w:rPr>
                <w:rFonts w:hint="eastAsia"/>
                <w:bCs/>
                <w:sz w:val="20"/>
                <w:szCs w:val="20"/>
                <w:lang w:eastAsia="ja-JP"/>
              </w:rPr>
              <w:t>语法</w:t>
            </w:r>
          </w:p>
        </w:tc>
        <w:tc>
          <w:tcPr>
            <w:tcW w:w="2229" w:type="dxa"/>
            <w:noWrap w:val="0"/>
            <w:vAlign w:val="center"/>
          </w:tcPr>
          <w:p>
            <w:pPr>
              <w:snapToGrid w:val="0"/>
              <w:spacing w:line="288" w:lineRule="auto"/>
              <w:rPr>
                <w:bCs/>
                <w:sz w:val="20"/>
                <w:szCs w:val="20"/>
              </w:rPr>
            </w:pPr>
            <w:r>
              <w:rPr>
                <w:rFonts w:hint="eastAsia"/>
                <w:bCs/>
                <w:sz w:val="20"/>
                <w:szCs w:val="20"/>
              </w:rPr>
              <w:t>相关语法与句型</w:t>
            </w:r>
          </w:p>
          <w:p>
            <w:pPr>
              <w:snapToGrid w:val="0"/>
              <w:spacing w:line="288" w:lineRule="auto"/>
              <w:rPr>
                <w:rFonts w:hint="eastAsia"/>
                <w:bCs/>
                <w:sz w:val="20"/>
                <w:szCs w:val="20"/>
              </w:rPr>
            </w:pPr>
            <w:r>
              <w:rPr>
                <w:bCs/>
                <w:sz w:val="20"/>
                <w:szCs w:val="20"/>
              </w:rPr>
              <w:t>助词的用法</w:t>
            </w:r>
          </w:p>
        </w:tc>
        <w:tc>
          <w:tcPr>
            <w:tcW w:w="2335" w:type="dxa"/>
            <w:vMerge w:val="restart"/>
            <w:noWrap w:val="0"/>
            <w:vAlign w:val="center"/>
          </w:tcPr>
          <w:p>
            <w:pPr>
              <w:snapToGrid w:val="0"/>
              <w:spacing w:line="288" w:lineRule="auto"/>
              <w:rPr>
                <w:rFonts w:hint="eastAsia"/>
                <w:bCs/>
                <w:sz w:val="20"/>
                <w:szCs w:val="20"/>
              </w:rPr>
            </w:pPr>
            <w:r>
              <w:rPr>
                <w:rFonts w:hint="eastAsia"/>
                <w:bCs/>
                <w:sz w:val="20"/>
                <w:szCs w:val="20"/>
              </w:rPr>
              <w:t>助词的种类及使用</w:t>
            </w:r>
          </w:p>
          <w:p>
            <w:pPr>
              <w:snapToGrid w:val="0"/>
              <w:spacing w:line="288" w:lineRule="auto"/>
              <w:rPr>
                <w:rFonts w:hint="eastAsia"/>
                <w:bCs/>
                <w:sz w:val="20"/>
                <w:szCs w:val="20"/>
              </w:rPr>
            </w:pPr>
            <w:r>
              <w:rPr>
                <w:rFonts w:hint="eastAsia"/>
                <w:bCs/>
                <w:sz w:val="20"/>
                <w:szCs w:val="20"/>
              </w:rPr>
              <w:t>基本句型逐个讲解</w:t>
            </w:r>
          </w:p>
          <w:p>
            <w:pPr>
              <w:snapToGrid w:val="0"/>
              <w:spacing w:line="288" w:lineRule="auto"/>
              <w:jc w:val="center"/>
              <w:rPr>
                <w:bCs/>
                <w:sz w:val="20"/>
                <w:szCs w:val="20"/>
              </w:rPr>
            </w:pPr>
          </w:p>
        </w:tc>
        <w:tc>
          <w:tcPr>
            <w:tcW w:w="2304" w:type="dxa"/>
            <w:noWrap w:val="0"/>
            <w:vAlign w:val="center"/>
          </w:tcPr>
          <w:p>
            <w:pPr>
              <w:snapToGrid w:val="0"/>
              <w:spacing w:line="288" w:lineRule="auto"/>
              <w:rPr>
                <w:rFonts w:hint="eastAsia"/>
                <w:bCs/>
                <w:sz w:val="20"/>
                <w:szCs w:val="20"/>
              </w:rPr>
            </w:pPr>
            <w:r>
              <w:rPr>
                <w:bCs/>
                <w:sz w:val="20"/>
                <w:szCs w:val="20"/>
              </w:rPr>
              <w:t>语法单选题强化训练</w:t>
            </w:r>
          </w:p>
          <w:p>
            <w:pPr>
              <w:snapToGrid w:val="0"/>
              <w:spacing w:line="288" w:lineRule="auto"/>
              <w:rPr>
                <w:bCs/>
                <w:sz w:val="20"/>
                <w:szCs w:val="20"/>
              </w:rPr>
            </w:pPr>
            <w:r>
              <w:rPr>
                <w:rFonts w:hint="eastAsia"/>
                <w:bCs/>
                <w:sz w:val="20"/>
                <w:szCs w:val="20"/>
              </w:rPr>
              <w:t>完成句子题型强化训练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440" w:type="dxa"/>
            <w:noWrap w:val="0"/>
            <w:vAlign w:val="center"/>
          </w:tcPr>
          <w:p>
            <w:pPr>
              <w:snapToGrid w:val="0"/>
              <w:spacing w:line="288" w:lineRule="auto"/>
              <w:jc w:val="center"/>
              <w:rPr>
                <w:bCs/>
                <w:sz w:val="20"/>
                <w:szCs w:val="20"/>
              </w:rPr>
            </w:pPr>
            <w:r>
              <w:rPr>
                <w:rFonts w:hint="eastAsia"/>
                <w:bCs/>
                <w:sz w:val="20"/>
                <w:szCs w:val="20"/>
              </w:rPr>
              <w:t>3</w:t>
            </w:r>
          </w:p>
        </w:tc>
        <w:tc>
          <w:tcPr>
            <w:tcW w:w="1214" w:type="dxa"/>
            <w:noWrap w:val="0"/>
            <w:vAlign w:val="center"/>
          </w:tcPr>
          <w:p>
            <w:pPr>
              <w:snapToGrid w:val="0"/>
              <w:spacing w:line="288" w:lineRule="auto"/>
              <w:jc w:val="center"/>
              <w:rPr>
                <w:rFonts w:eastAsia="MS Mincho"/>
                <w:bCs/>
                <w:sz w:val="20"/>
                <w:szCs w:val="20"/>
                <w:lang w:eastAsia="ja-JP"/>
              </w:rPr>
            </w:pPr>
            <w:r>
              <w:rPr>
                <w:rFonts w:hint="eastAsia"/>
                <w:bCs/>
                <w:sz w:val="20"/>
                <w:szCs w:val="20"/>
              </w:rPr>
              <w:t>阅读</w:t>
            </w:r>
            <w:r>
              <w:rPr>
                <w:rFonts w:hint="eastAsia"/>
                <w:bCs/>
                <w:sz w:val="20"/>
                <w:szCs w:val="20"/>
                <w:lang w:eastAsia="ja-JP"/>
              </w:rPr>
              <w:t>理解</w:t>
            </w:r>
          </w:p>
        </w:tc>
        <w:tc>
          <w:tcPr>
            <w:tcW w:w="2229" w:type="dxa"/>
            <w:noWrap w:val="0"/>
            <w:vAlign w:val="center"/>
          </w:tcPr>
          <w:p>
            <w:pPr>
              <w:snapToGrid w:val="0"/>
              <w:spacing w:line="288" w:lineRule="auto"/>
              <w:rPr>
                <w:rFonts w:hint="eastAsia"/>
                <w:bCs/>
                <w:sz w:val="20"/>
                <w:szCs w:val="20"/>
              </w:rPr>
            </w:pPr>
            <w:r>
              <w:rPr>
                <w:bCs/>
                <w:sz w:val="20"/>
                <w:szCs w:val="20"/>
              </w:rPr>
              <w:t>长篇与短篇阅读理解</w:t>
            </w:r>
          </w:p>
          <w:p>
            <w:pPr>
              <w:snapToGrid w:val="0"/>
              <w:spacing w:line="288" w:lineRule="auto"/>
              <w:rPr>
                <w:rFonts w:hint="eastAsia"/>
                <w:bCs/>
                <w:sz w:val="20"/>
                <w:szCs w:val="20"/>
              </w:rPr>
            </w:pPr>
            <w:r>
              <w:rPr>
                <w:rFonts w:hint="eastAsia"/>
                <w:bCs/>
                <w:sz w:val="20"/>
                <w:szCs w:val="20"/>
              </w:rPr>
              <w:t>理解文章大意；</w:t>
            </w:r>
          </w:p>
          <w:p>
            <w:pPr>
              <w:snapToGrid w:val="0"/>
              <w:spacing w:line="288" w:lineRule="auto"/>
              <w:rPr>
                <w:rFonts w:hint="eastAsia"/>
                <w:bCs/>
                <w:sz w:val="20"/>
                <w:szCs w:val="20"/>
              </w:rPr>
            </w:pPr>
            <w:r>
              <w:rPr>
                <w:rFonts w:hint="eastAsia"/>
                <w:bCs/>
                <w:sz w:val="20"/>
                <w:szCs w:val="20"/>
              </w:rPr>
              <w:t>理解文章的真正内涵；</w:t>
            </w:r>
          </w:p>
          <w:p>
            <w:pPr>
              <w:snapToGrid w:val="0"/>
              <w:spacing w:line="288" w:lineRule="auto"/>
              <w:rPr>
                <w:rFonts w:hint="eastAsia"/>
                <w:bCs/>
                <w:sz w:val="20"/>
                <w:szCs w:val="20"/>
              </w:rPr>
            </w:pPr>
            <w:r>
              <w:rPr>
                <w:rFonts w:hint="eastAsia"/>
                <w:bCs/>
                <w:sz w:val="20"/>
                <w:szCs w:val="20"/>
              </w:rPr>
              <w:t>理解文章意思，能准确判断确立推论。</w:t>
            </w:r>
          </w:p>
        </w:tc>
        <w:tc>
          <w:tcPr>
            <w:tcW w:w="2335" w:type="dxa"/>
            <w:vMerge w:val="restart"/>
            <w:noWrap w:val="0"/>
            <w:vAlign w:val="top"/>
          </w:tcPr>
          <w:p>
            <w:pPr>
              <w:snapToGrid w:val="0"/>
              <w:spacing w:line="288" w:lineRule="auto"/>
              <w:rPr>
                <w:bCs/>
                <w:sz w:val="20"/>
                <w:szCs w:val="20"/>
              </w:rPr>
            </w:pPr>
            <w:r>
              <w:rPr>
                <w:rFonts w:hint="eastAsia"/>
                <w:bCs/>
                <w:sz w:val="20"/>
                <w:szCs w:val="20"/>
              </w:rPr>
              <w:t>结合阅读文章详细讲解文中出现的重点单词和重点句型的用法；</w:t>
            </w:r>
          </w:p>
          <w:p>
            <w:pPr>
              <w:snapToGrid w:val="0"/>
              <w:spacing w:line="288" w:lineRule="auto"/>
              <w:rPr>
                <w:rFonts w:hint="eastAsia"/>
                <w:bCs/>
                <w:sz w:val="20"/>
                <w:szCs w:val="20"/>
              </w:rPr>
            </w:pPr>
            <w:r>
              <w:rPr>
                <w:rFonts w:hint="eastAsia"/>
                <w:bCs/>
                <w:sz w:val="20"/>
                <w:szCs w:val="20"/>
              </w:rPr>
              <w:t>准确理解、翻译阅读文的意思；</w:t>
            </w:r>
          </w:p>
          <w:p>
            <w:pPr>
              <w:snapToGrid w:val="0"/>
              <w:spacing w:line="288" w:lineRule="auto"/>
              <w:rPr>
                <w:bCs/>
                <w:sz w:val="20"/>
                <w:szCs w:val="20"/>
              </w:rPr>
            </w:pPr>
            <w:r>
              <w:rPr>
                <w:rFonts w:hint="eastAsia"/>
                <w:bCs/>
                <w:sz w:val="20"/>
                <w:szCs w:val="20"/>
              </w:rPr>
              <w:t>结合文章句意，能够准确答题。</w:t>
            </w:r>
          </w:p>
        </w:tc>
        <w:tc>
          <w:tcPr>
            <w:tcW w:w="2304" w:type="dxa"/>
            <w:noWrap w:val="0"/>
            <w:vAlign w:val="center"/>
          </w:tcPr>
          <w:p>
            <w:pPr>
              <w:snapToGrid w:val="0"/>
              <w:spacing w:line="288" w:lineRule="auto"/>
              <w:jc w:val="center"/>
              <w:rPr>
                <w:rFonts w:hint="eastAsia"/>
                <w:bCs/>
                <w:sz w:val="20"/>
                <w:szCs w:val="20"/>
              </w:rPr>
            </w:pPr>
            <w:r>
              <w:rPr>
                <w:rFonts w:hint="eastAsia"/>
                <w:bCs/>
                <w:sz w:val="20"/>
                <w:szCs w:val="20"/>
              </w:rPr>
              <w:t>完型填空练习</w:t>
            </w:r>
          </w:p>
          <w:p>
            <w:pPr>
              <w:snapToGrid w:val="0"/>
              <w:spacing w:line="288" w:lineRule="auto"/>
              <w:jc w:val="center"/>
              <w:rPr>
                <w:bCs/>
                <w:sz w:val="20"/>
                <w:szCs w:val="20"/>
              </w:rPr>
            </w:pPr>
            <w:r>
              <w:rPr>
                <w:rFonts w:hint="eastAsia"/>
                <w:bCs/>
                <w:sz w:val="20"/>
                <w:szCs w:val="20"/>
              </w:rPr>
              <w:t>阅读理解强化训练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0" w:hRule="atLeast"/>
        </w:trPr>
        <w:tc>
          <w:tcPr>
            <w:tcW w:w="440" w:type="dxa"/>
            <w:noWrap w:val="0"/>
            <w:vAlign w:val="center"/>
          </w:tcPr>
          <w:p>
            <w:pPr>
              <w:snapToGrid w:val="0"/>
              <w:spacing w:line="288" w:lineRule="auto"/>
              <w:jc w:val="center"/>
              <w:rPr>
                <w:bCs/>
                <w:sz w:val="20"/>
                <w:szCs w:val="20"/>
              </w:rPr>
            </w:pPr>
            <w:r>
              <w:rPr>
                <w:rFonts w:hint="eastAsia"/>
                <w:bCs/>
                <w:sz w:val="20"/>
                <w:szCs w:val="20"/>
              </w:rPr>
              <w:t>4</w:t>
            </w:r>
          </w:p>
        </w:tc>
        <w:tc>
          <w:tcPr>
            <w:tcW w:w="1214" w:type="dxa"/>
            <w:noWrap w:val="0"/>
            <w:vAlign w:val="center"/>
          </w:tcPr>
          <w:p>
            <w:pPr>
              <w:snapToGrid w:val="0"/>
              <w:spacing w:line="288" w:lineRule="auto"/>
              <w:jc w:val="center"/>
              <w:rPr>
                <w:rFonts w:hint="eastAsia"/>
                <w:bCs/>
                <w:sz w:val="20"/>
                <w:szCs w:val="20"/>
              </w:rPr>
            </w:pPr>
            <w:r>
              <w:rPr>
                <w:rFonts w:hint="eastAsia" w:eastAsia="MS Mincho"/>
                <w:bCs/>
                <w:sz w:val="20"/>
                <w:szCs w:val="20"/>
                <w:lang w:eastAsia="ja-JP"/>
              </w:rPr>
              <w:t>听力</w:t>
            </w:r>
            <w:r>
              <w:rPr>
                <w:rFonts w:hint="eastAsia" w:ascii="宋体" w:hAnsi="宋体" w:cs="宋体"/>
                <w:bCs/>
                <w:sz w:val="20"/>
                <w:szCs w:val="20"/>
                <w:lang w:eastAsia="ja-JP"/>
              </w:rPr>
              <w:t>训练</w:t>
            </w:r>
          </w:p>
        </w:tc>
        <w:tc>
          <w:tcPr>
            <w:tcW w:w="2229" w:type="dxa"/>
            <w:noWrap w:val="0"/>
            <w:vAlign w:val="top"/>
          </w:tcPr>
          <w:p>
            <w:pPr>
              <w:snapToGrid w:val="0"/>
              <w:spacing w:line="288" w:lineRule="auto"/>
              <w:rPr>
                <w:rFonts w:hint="eastAsia" w:ascii="宋体" w:hAnsi="宋体" w:cs="宋体"/>
                <w:bCs/>
                <w:sz w:val="20"/>
                <w:szCs w:val="20"/>
              </w:rPr>
            </w:pPr>
            <w:r>
              <w:rPr>
                <w:rFonts w:hint="eastAsia" w:eastAsia="MS Mincho"/>
                <w:bCs/>
                <w:sz w:val="20"/>
                <w:szCs w:val="20"/>
              </w:rPr>
              <w:t>能听懂日本人正常</w:t>
            </w:r>
            <w:r>
              <w:rPr>
                <w:rFonts w:hint="eastAsia" w:ascii="宋体" w:hAnsi="宋体" w:cs="宋体"/>
                <w:bCs/>
                <w:sz w:val="20"/>
                <w:szCs w:val="20"/>
              </w:rPr>
              <w:t>语速的会话、演讲和报告；</w:t>
            </w:r>
          </w:p>
          <w:p>
            <w:pPr>
              <w:snapToGrid w:val="0"/>
              <w:spacing w:line="288" w:lineRule="auto"/>
              <w:rPr>
                <w:rFonts w:hint="eastAsia" w:ascii="宋体" w:hAnsi="宋体" w:cs="宋体"/>
                <w:bCs/>
                <w:sz w:val="20"/>
                <w:szCs w:val="20"/>
              </w:rPr>
            </w:pPr>
            <w:r>
              <w:rPr>
                <w:rFonts w:hint="eastAsia" w:ascii="宋体" w:hAnsi="宋体" w:cs="宋体"/>
                <w:bCs/>
                <w:sz w:val="20"/>
                <w:szCs w:val="20"/>
              </w:rPr>
              <w:t>每分钟听160-260字的听力资料，能把握大意。</w:t>
            </w:r>
          </w:p>
        </w:tc>
        <w:tc>
          <w:tcPr>
            <w:tcW w:w="2335" w:type="dxa"/>
            <w:noWrap w:val="0"/>
            <w:vAlign w:val="top"/>
          </w:tcPr>
          <w:p>
            <w:pPr>
              <w:snapToGrid w:val="0"/>
              <w:spacing w:line="288" w:lineRule="auto"/>
              <w:rPr>
                <w:rFonts w:hint="eastAsia"/>
                <w:bCs/>
                <w:sz w:val="20"/>
                <w:szCs w:val="20"/>
              </w:rPr>
            </w:pPr>
            <w:r>
              <w:rPr>
                <w:bCs/>
                <w:sz w:val="20"/>
                <w:szCs w:val="20"/>
              </w:rPr>
              <w:t>着重无图听力的训练，</w:t>
            </w:r>
          </w:p>
          <w:p>
            <w:pPr>
              <w:snapToGrid w:val="0"/>
              <w:spacing w:line="288" w:lineRule="auto"/>
              <w:rPr>
                <w:rFonts w:hint="eastAsia"/>
                <w:bCs/>
                <w:sz w:val="20"/>
                <w:szCs w:val="20"/>
              </w:rPr>
            </w:pPr>
            <w:r>
              <w:rPr>
                <w:rFonts w:hint="eastAsia"/>
                <w:bCs/>
                <w:sz w:val="20"/>
                <w:szCs w:val="20"/>
              </w:rPr>
              <w:t>准确把握听力内容的关键词和关键句；</w:t>
            </w:r>
          </w:p>
          <w:p>
            <w:pPr>
              <w:snapToGrid w:val="0"/>
              <w:spacing w:line="288" w:lineRule="auto"/>
              <w:rPr>
                <w:bCs/>
                <w:sz w:val="20"/>
                <w:szCs w:val="20"/>
              </w:rPr>
            </w:pPr>
            <w:r>
              <w:rPr>
                <w:rFonts w:hint="eastAsia"/>
                <w:bCs/>
                <w:sz w:val="20"/>
                <w:szCs w:val="20"/>
              </w:rPr>
              <w:t>听懂题目，带着题目去听听力材料。</w:t>
            </w:r>
          </w:p>
        </w:tc>
        <w:tc>
          <w:tcPr>
            <w:tcW w:w="2304" w:type="dxa"/>
            <w:noWrap w:val="0"/>
            <w:vAlign w:val="center"/>
          </w:tcPr>
          <w:p>
            <w:pPr>
              <w:snapToGrid w:val="0"/>
              <w:spacing w:line="288" w:lineRule="auto"/>
              <w:jc w:val="center"/>
              <w:rPr>
                <w:bCs/>
                <w:sz w:val="20"/>
                <w:szCs w:val="20"/>
              </w:rPr>
            </w:pPr>
            <w:r>
              <w:rPr>
                <w:rFonts w:hint="eastAsia"/>
                <w:bCs/>
                <w:sz w:val="20"/>
                <w:szCs w:val="20"/>
              </w:rPr>
              <w:t>强化听力训练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0" w:hRule="atLeast"/>
        </w:trPr>
        <w:tc>
          <w:tcPr>
            <w:tcW w:w="440" w:type="dxa"/>
            <w:noWrap w:val="0"/>
            <w:vAlign w:val="center"/>
          </w:tcPr>
          <w:p>
            <w:pPr>
              <w:snapToGrid w:val="0"/>
              <w:spacing w:line="288" w:lineRule="auto"/>
              <w:jc w:val="center"/>
              <w:rPr>
                <w:rFonts w:hint="eastAsia"/>
                <w:bCs/>
                <w:sz w:val="20"/>
                <w:szCs w:val="20"/>
              </w:rPr>
            </w:pPr>
            <w:r>
              <w:rPr>
                <w:rFonts w:hint="eastAsia"/>
                <w:bCs/>
                <w:sz w:val="20"/>
                <w:szCs w:val="20"/>
              </w:rPr>
              <w:t>5</w:t>
            </w:r>
          </w:p>
        </w:tc>
        <w:tc>
          <w:tcPr>
            <w:tcW w:w="1214" w:type="dxa"/>
            <w:noWrap w:val="0"/>
            <w:vAlign w:val="center"/>
          </w:tcPr>
          <w:p>
            <w:pPr>
              <w:snapToGrid w:val="0"/>
              <w:spacing w:line="288" w:lineRule="auto"/>
              <w:jc w:val="center"/>
              <w:rPr>
                <w:rFonts w:hint="eastAsia" w:eastAsia="MS Mincho"/>
                <w:bCs/>
                <w:sz w:val="20"/>
                <w:szCs w:val="20"/>
              </w:rPr>
            </w:pPr>
            <w:r>
              <w:rPr>
                <w:rFonts w:hint="eastAsia" w:ascii="宋体" w:hAnsi="宋体" w:cs="宋体"/>
                <w:bCs/>
                <w:sz w:val="20"/>
                <w:szCs w:val="20"/>
                <w:lang w:eastAsia="ja-JP"/>
              </w:rPr>
              <w:t>写作</w:t>
            </w:r>
          </w:p>
        </w:tc>
        <w:tc>
          <w:tcPr>
            <w:tcW w:w="2229" w:type="dxa"/>
            <w:noWrap w:val="0"/>
            <w:vAlign w:val="top"/>
          </w:tcPr>
          <w:p>
            <w:pPr>
              <w:snapToGrid w:val="0"/>
              <w:spacing w:line="288" w:lineRule="auto"/>
              <w:rPr>
                <w:rFonts w:hint="eastAsia" w:ascii="宋体" w:hAnsi="宋体" w:cs="宋体"/>
                <w:bCs/>
                <w:sz w:val="20"/>
                <w:szCs w:val="20"/>
              </w:rPr>
            </w:pPr>
            <w:r>
              <w:rPr>
                <w:rFonts w:hint="eastAsia" w:eastAsia="MS Mincho"/>
                <w:bCs/>
                <w:sz w:val="20"/>
                <w:szCs w:val="20"/>
              </w:rPr>
              <w:t>根据所</w:t>
            </w:r>
            <w:r>
              <w:rPr>
                <w:rFonts w:hint="eastAsia" w:ascii="宋体" w:hAnsi="宋体" w:cs="宋体"/>
                <w:bCs/>
                <w:sz w:val="20"/>
                <w:szCs w:val="20"/>
              </w:rPr>
              <w:t>给</w:t>
            </w:r>
            <w:r>
              <w:rPr>
                <w:rFonts w:hint="eastAsia" w:ascii="MS Mincho" w:hAnsi="MS Mincho" w:eastAsia="MS Mincho" w:cs="MS Mincho"/>
                <w:bCs/>
                <w:sz w:val="20"/>
                <w:szCs w:val="20"/>
              </w:rPr>
              <w:t>的</w:t>
            </w:r>
            <w:r>
              <w:rPr>
                <w:rFonts w:hint="eastAsia" w:ascii="宋体" w:hAnsi="宋体" w:cs="宋体"/>
                <w:bCs/>
                <w:sz w:val="20"/>
                <w:szCs w:val="20"/>
              </w:rPr>
              <w:t>题目写出350-400字的短文，包括叙述文、说明文、议论文、书信文等；</w:t>
            </w:r>
          </w:p>
          <w:p>
            <w:pPr>
              <w:snapToGrid w:val="0"/>
              <w:spacing w:line="288" w:lineRule="auto"/>
              <w:rPr>
                <w:rFonts w:hint="eastAsia" w:eastAsia="MS Mincho"/>
                <w:bCs/>
                <w:sz w:val="20"/>
                <w:szCs w:val="20"/>
              </w:rPr>
            </w:pPr>
            <w:r>
              <w:rPr>
                <w:rFonts w:hint="eastAsia" w:ascii="宋体" w:hAnsi="宋体" w:cs="宋体"/>
                <w:bCs/>
                <w:sz w:val="20"/>
                <w:szCs w:val="20"/>
              </w:rPr>
              <w:t>按照日语作文的写作格式正确写出简体文章。</w:t>
            </w:r>
          </w:p>
        </w:tc>
        <w:tc>
          <w:tcPr>
            <w:tcW w:w="2335" w:type="dxa"/>
            <w:noWrap w:val="0"/>
            <w:vAlign w:val="top"/>
          </w:tcPr>
          <w:p>
            <w:pPr>
              <w:snapToGrid w:val="0"/>
              <w:spacing w:line="288" w:lineRule="auto"/>
              <w:rPr>
                <w:rFonts w:hint="eastAsia"/>
                <w:bCs/>
                <w:sz w:val="20"/>
                <w:szCs w:val="20"/>
              </w:rPr>
            </w:pPr>
            <w:r>
              <w:rPr>
                <w:rFonts w:hint="eastAsia"/>
                <w:bCs/>
                <w:sz w:val="20"/>
                <w:szCs w:val="20"/>
              </w:rPr>
              <w:t>讲解范文，</w:t>
            </w:r>
            <w:r>
              <w:rPr>
                <w:bCs/>
                <w:sz w:val="20"/>
                <w:szCs w:val="20"/>
              </w:rPr>
              <w:t>全面了解考试大纲所要求的作文能力</w:t>
            </w:r>
            <w:r>
              <w:rPr>
                <w:rFonts w:hint="eastAsia"/>
                <w:bCs/>
                <w:sz w:val="20"/>
                <w:szCs w:val="20"/>
              </w:rPr>
              <w:t>、作文试题的类型、写作必备的知识要点等。</w:t>
            </w:r>
          </w:p>
          <w:p>
            <w:pPr>
              <w:snapToGrid w:val="0"/>
              <w:spacing w:line="288" w:lineRule="auto"/>
              <w:rPr>
                <w:bCs/>
                <w:sz w:val="20"/>
                <w:szCs w:val="20"/>
              </w:rPr>
            </w:pPr>
          </w:p>
        </w:tc>
        <w:tc>
          <w:tcPr>
            <w:tcW w:w="2304" w:type="dxa"/>
            <w:noWrap w:val="0"/>
            <w:vAlign w:val="center"/>
          </w:tcPr>
          <w:p>
            <w:pPr>
              <w:snapToGrid w:val="0"/>
              <w:spacing w:line="288" w:lineRule="auto"/>
              <w:jc w:val="center"/>
              <w:rPr>
                <w:rFonts w:hint="eastAsia"/>
                <w:bCs/>
                <w:sz w:val="20"/>
                <w:szCs w:val="20"/>
              </w:rPr>
            </w:pPr>
            <w:r>
              <w:rPr>
                <w:rFonts w:hint="eastAsia"/>
                <w:bCs/>
                <w:sz w:val="20"/>
                <w:szCs w:val="20"/>
              </w:rPr>
              <w:t>作文写作训练</w:t>
            </w:r>
          </w:p>
        </w:tc>
      </w:tr>
    </w:tbl>
    <w:p>
      <w:pPr>
        <w:snapToGrid w:val="0"/>
        <w:spacing w:line="288" w:lineRule="auto"/>
        <w:rPr>
          <w:bCs/>
          <w:sz w:val="20"/>
          <w:szCs w:val="20"/>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09" w:type="dxa"/>
            <w:noWrap w:val="0"/>
            <w:vAlign w:val="top"/>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09"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noWrap w:val="0"/>
            <w:vAlign w:val="top"/>
          </w:tcPr>
          <w:p>
            <w:pPr>
              <w:snapToGrid w:val="0"/>
              <w:spacing w:before="156" w:beforeLines="50" w:after="156" w:afterLines="50"/>
              <w:jc w:val="center"/>
              <w:rPr>
                <w:rFonts w:ascii="宋体" w:hAnsi="宋体"/>
                <w:bCs/>
                <w:color w:val="000000"/>
                <w:szCs w:val="20"/>
              </w:rPr>
            </w:pPr>
            <w:r>
              <w:rPr>
                <w:rFonts w:ascii="宋体" w:hAnsi="宋体"/>
                <w:bCs/>
                <w:color w:val="000000"/>
                <w:szCs w:val="20"/>
              </w:rPr>
              <w:t>期终考试</w:t>
            </w:r>
          </w:p>
        </w:tc>
        <w:tc>
          <w:tcPr>
            <w:tcW w:w="184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09"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检查1-3周的课堂掌握情况，小</w:t>
            </w:r>
            <w:r>
              <w:rPr>
                <w:rFonts w:ascii="宋体" w:hAnsi="宋体"/>
                <w:bCs/>
                <w:color w:val="000000"/>
                <w:szCs w:val="20"/>
              </w:rPr>
              <w:t>测试</w:t>
            </w:r>
          </w:p>
        </w:tc>
        <w:tc>
          <w:tcPr>
            <w:tcW w:w="184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809"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检查4-7周的课堂掌握情况，小</w:t>
            </w:r>
            <w:r>
              <w:rPr>
                <w:rFonts w:ascii="宋体" w:hAnsi="宋体"/>
                <w:bCs/>
                <w:color w:val="000000"/>
                <w:szCs w:val="20"/>
              </w:rPr>
              <w:t>测试</w:t>
            </w:r>
          </w:p>
        </w:tc>
        <w:tc>
          <w:tcPr>
            <w:tcW w:w="184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09"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检查8-11周的课堂掌握情况，小</w:t>
            </w:r>
            <w:r>
              <w:rPr>
                <w:rFonts w:ascii="宋体" w:hAnsi="宋体"/>
                <w:bCs/>
                <w:color w:val="000000"/>
                <w:szCs w:val="20"/>
              </w:rPr>
              <w:t>测试</w:t>
            </w:r>
          </w:p>
        </w:tc>
        <w:tc>
          <w:tcPr>
            <w:tcW w:w="184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ind w:right="2520" w:firstLine="480" w:firstLineChars="200"/>
        <w:rPr>
          <w:sz w:val="20"/>
          <w:szCs w:val="20"/>
        </w:rPr>
      </w:pPr>
      <w:r>
        <w:rPr>
          <w:rFonts w:hint="eastAsia" w:ascii="黑体" w:hAnsi="宋体" w:eastAsia="黑体"/>
          <w:sz w:val="24"/>
        </w:rPr>
        <w:t>六、评价方式与成绩</w:t>
      </w:r>
      <w:r>
        <w:rPr>
          <w:rFonts w:ascii="黑体" w:hAnsi="宋体" w:eastAsia="黑体"/>
          <w:sz w:val="24"/>
        </w:rPr>
        <w:t>（必填项）</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 xml:space="preserve">撰写人： </w:t>
      </w:r>
      <w:r>
        <w:rPr>
          <w:rFonts w:hint="eastAsia"/>
          <w:sz w:val="28"/>
          <w:szCs w:val="28"/>
        </w:rPr>
        <w:drawing>
          <wp:inline distT="0" distB="0" distL="114300" distR="114300">
            <wp:extent cx="1048385" cy="316865"/>
            <wp:effectExtent l="0" t="0" r="18415" b="6985"/>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签名"/>
                    <pic:cNvPicPr>
                      <a:picLocks noChangeAspect="1"/>
                    </pic:cNvPicPr>
                  </pic:nvPicPr>
                  <pic:blipFill>
                    <a:blip r:embed="rId5"/>
                    <a:stretch>
                      <a:fillRect/>
                    </a:stretch>
                  </pic:blipFill>
                  <pic:spPr>
                    <a:xfrm>
                      <a:off x="0" y="0"/>
                      <a:ext cx="1048385" cy="316865"/>
                    </a:xfrm>
                    <a:prstGeom prst="rect">
                      <a:avLst/>
                    </a:prstGeom>
                    <a:noFill/>
                    <a:ln>
                      <a:noFill/>
                    </a:ln>
                  </pic:spPr>
                </pic:pic>
              </a:graphicData>
            </a:graphic>
          </wp:inline>
        </w:drawing>
      </w:r>
      <w:r>
        <w:rPr>
          <w:rFonts w:hint="eastAsia"/>
          <w:sz w:val="28"/>
          <w:szCs w:val="28"/>
        </w:rPr>
        <w:t xml:space="preserve">    系主任审核签名：</w:t>
      </w:r>
      <w:r>
        <w:rPr>
          <w:rFonts w:ascii="宋体" w:hAnsi="宋体"/>
          <w:color w:val="000000"/>
          <w:position w:val="-20"/>
          <w:sz w:val="28"/>
          <w:szCs w:val="28"/>
        </w:rPr>
        <w:drawing>
          <wp:inline distT="0" distB="0" distL="114300" distR="114300">
            <wp:extent cx="1057275" cy="382905"/>
            <wp:effectExtent l="0" t="0" r="9525" b="17145"/>
            <wp:docPr id="2" name="图片 3" descr="说明: 刘尔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说明: 刘尔瑟"/>
                    <pic:cNvPicPr>
                      <a:picLocks noChangeAspect="1"/>
                    </pic:cNvPicPr>
                  </pic:nvPicPr>
                  <pic:blipFill>
                    <a:blip r:embed="rId6"/>
                    <a:stretch>
                      <a:fillRect/>
                    </a:stretch>
                  </pic:blipFill>
                  <pic:spPr>
                    <a:xfrm>
                      <a:off x="0" y="0"/>
                      <a:ext cx="1057275" cy="382905"/>
                    </a:xfrm>
                    <a:prstGeom prst="rect">
                      <a:avLst/>
                    </a:prstGeom>
                    <a:noFill/>
                    <a:ln>
                      <a:noFill/>
                    </a:ln>
                  </pic:spPr>
                </pic:pic>
              </a:graphicData>
            </a:graphic>
          </wp:inline>
        </w:drawing>
      </w:r>
    </w:p>
    <w:p>
      <w:pPr>
        <w:snapToGrid w:val="0"/>
        <w:spacing w:line="288" w:lineRule="auto"/>
        <w:rPr>
          <w:rFonts w:ascii="宋体" w:hAnsi="宋体"/>
          <w:sz w:val="28"/>
          <w:szCs w:val="28"/>
        </w:rPr>
      </w:pPr>
      <w:r>
        <w:rPr>
          <w:rFonts w:hint="eastAsia" w:ascii="宋体" w:hAnsi="宋体"/>
          <w:sz w:val="28"/>
          <w:szCs w:val="28"/>
        </w:rPr>
        <w:t xml:space="preserve">审核时间：2023年2月20日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30860" y="349885"/>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BY2z5YgIAAKcEAAAOAAAAZHJzL2Uyb0RvYy54bWytVMFu2zAM&#10;vQ/YPwi6r3bSJEuDOkXWIsOAYi3QDTsrshwbkEVNUuJ0H7D9wU677L7v6nfsSU7artuhh/kgkyL9&#10;SD6SPj3btZptlfMNmYIPjnLOlJFUNmZd8I8flq+mnPkgTCk0GVXwW+X52fzli9POztSQatKlcgwg&#10;xs86W/A6BDvLMi9r1Qp/RFYZGCtyrQhQ3TorneiA3upsmOeTrCNXWkdSeY/bi97I94juOYBUVY1U&#10;FyQ3rTKhR3VKi4CSfN1Yz+cp26pSMlxVlVeB6YKj0pBOBIG8imc2PxWztRO2buQ+BfGcFJ7U1IrG&#10;IOg91IUIgm1c8xdU20hHnqpwJKnN+kISI6hikD/h5qYWVqVaQLW396T7/wcr32+vHWvKgh9zZkSL&#10;ht99/3b349fdz69sEOnprJ/B68bCL+ze0A5Dc7j3uIxV7yrXxjfqYbCPj/PpBAzfAnV0Mp2Oe5rV&#10;LjAJ83ByPB6OYZdwGE7zyevUh+wBxzof3ipqWRQK7tDGxK7YXvqAnOB6cIlhPemmXDZaJ8WtV+fa&#10;sa1Ay5fpieHxyR9u2rCu4MgkT8iG4ve9nzYRR6Xp2ceLJPTFRinsVrs9Mysqb0GMo36yvJXLBjlf&#10;Ch+uhcMooUwsW7jCUWlCSNpLnNXkvvzrPvqjw7By1mE0C+4/b4RTnOl3Br0/GYxGgA1JGY1fD6G4&#10;x5bVY4vZtOcEKgZYayuTGP2DPoiVo/YTdnIRo8IkjETsgoeDeB76hcFOS7VYJCdMrxXh0txYGaEj&#10;YYYWm0BVkxoUaeq5AfVRwfymJux3LS7IYz15Pfxf5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1ZHmtQAAAAIAQAADwAAAAAAAAABACAAAAAiAAAAZHJzL2Rvd25yZXYueG1sUEsBAhQAFAAAAAgA&#10;h07iQAFjbPliAgAApwQAAA4AAAAAAAAAAQAgAAAAIwEAAGRycy9lMm9Eb2MueG1sUEsFBgAAAAAG&#10;AAYAWQEAAPc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TJjZTAxZWYzN2RlODRkZTdjOTgxYmEwZmVhMjQifQ=="/>
  </w:docVars>
  <w:rsids>
    <w:rsidRoot w:val="00172A27"/>
    <w:rsid w:val="00055D16"/>
    <w:rsid w:val="000609F9"/>
    <w:rsid w:val="000714C6"/>
    <w:rsid w:val="00085D17"/>
    <w:rsid w:val="000A6EE1"/>
    <w:rsid w:val="000C5254"/>
    <w:rsid w:val="00151A57"/>
    <w:rsid w:val="00164BF6"/>
    <w:rsid w:val="00167B2E"/>
    <w:rsid w:val="001836CF"/>
    <w:rsid w:val="001850B9"/>
    <w:rsid w:val="001A4809"/>
    <w:rsid w:val="001C319E"/>
    <w:rsid w:val="001C776F"/>
    <w:rsid w:val="001D6D0B"/>
    <w:rsid w:val="001E205D"/>
    <w:rsid w:val="001E3807"/>
    <w:rsid w:val="002163E2"/>
    <w:rsid w:val="002404DD"/>
    <w:rsid w:val="002467AB"/>
    <w:rsid w:val="002720D8"/>
    <w:rsid w:val="00276137"/>
    <w:rsid w:val="00284380"/>
    <w:rsid w:val="00293C25"/>
    <w:rsid w:val="002A566E"/>
    <w:rsid w:val="002A71D3"/>
    <w:rsid w:val="002B264B"/>
    <w:rsid w:val="002F3414"/>
    <w:rsid w:val="00313757"/>
    <w:rsid w:val="00323D87"/>
    <w:rsid w:val="00324549"/>
    <w:rsid w:val="0034771A"/>
    <w:rsid w:val="0036438C"/>
    <w:rsid w:val="00364854"/>
    <w:rsid w:val="00373639"/>
    <w:rsid w:val="00391B77"/>
    <w:rsid w:val="003B4C72"/>
    <w:rsid w:val="003E4716"/>
    <w:rsid w:val="00476B65"/>
    <w:rsid w:val="004876C3"/>
    <w:rsid w:val="004A006B"/>
    <w:rsid w:val="004A7370"/>
    <w:rsid w:val="004C692F"/>
    <w:rsid w:val="00557730"/>
    <w:rsid w:val="005603CE"/>
    <w:rsid w:val="005C6308"/>
    <w:rsid w:val="005F7EB2"/>
    <w:rsid w:val="00637FA9"/>
    <w:rsid w:val="006664E3"/>
    <w:rsid w:val="00687D3E"/>
    <w:rsid w:val="006D0F79"/>
    <w:rsid w:val="006E548C"/>
    <w:rsid w:val="006F6024"/>
    <w:rsid w:val="0070170A"/>
    <w:rsid w:val="00706597"/>
    <w:rsid w:val="00721782"/>
    <w:rsid w:val="00732B00"/>
    <w:rsid w:val="007D3620"/>
    <w:rsid w:val="00864EB1"/>
    <w:rsid w:val="00881010"/>
    <w:rsid w:val="009255B7"/>
    <w:rsid w:val="0092787E"/>
    <w:rsid w:val="00955487"/>
    <w:rsid w:val="00975216"/>
    <w:rsid w:val="009F1038"/>
    <w:rsid w:val="00A3764E"/>
    <w:rsid w:val="00A445EA"/>
    <w:rsid w:val="00A72E0B"/>
    <w:rsid w:val="00A759BE"/>
    <w:rsid w:val="00AD1B20"/>
    <w:rsid w:val="00AF1493"/>
    <w:rsid w:val="00B01FE9"/>
    <w:rsid w:val="00B060E5"/>
    <w:rsid w:val="00B24F47"/>
    <w:rsid w:val="00B56D86"/>
    <w:rsid w:val="00B665B5"/>
    <w:rsid w:val="00B92167"/>
    <w:rsid w:val="00BA42D0"/>
    <w:rsid w:val="00BB21DD"/>
    <w:rsid w:val="00BE3463"/>
    <w:rsid w:val="00BF0F07"/>
    <w:rsid w:val="00C12A14"/>
    <w:rsid w:val="00CA0B20"/>
    <w:rsid w:val="00CA275E"/>
    <w:rsid w:val="00CB1DD8"/>
    <w:rsid w:val="00CB2439"/>
    <w:rsid w:val="00CC3970"/>
    <w:rsid w:val="00D50C00"/>
    <w:rsid w:val="00D563E8"/>
    <w:rsid w:val="00DB3A1C"/>
    <w:rsid w:val="00DD146A"/>
    <w:rsid w:val="00E14648"/>
    <w:rsid w:val="00E31D8B"/>
    <w:rsid w:val="00E44921"/>
    <w:rsid w:val="00E50118"/>
    <w:rsid w:val="00E7621B"/>
    <w:rsid w:val="00F166DD"/>
    <w:rsid w:val="00F6605E"/>
    <w:rsid w:val="00FA719A"/>
    <w:rsid w:val="00FE01C7"/>
    <w:rsid w:val="00FE4691"/>
    <w:rsid w:val="41A676A6"/>
    <w:rsid w:val="6122518B"/>
    <w:rsid w:val="7DC873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3"/>
    <w:basedOn w:val="1"/>
    <w:next w:val="1"/>
    <w:link w:val="9"/>
    <w:unhideWhenUsed/>
    <w:qFormat/>
    <w:uiPriority w:val="0"/>
    <w:pPr>
      <w:keepNext/>
      <w:keepLines/>
      <w:spacing w:before="260" w:after="260" w:line="416" w:lineRule="auto"/>
      <w:outlineLvl w:val="2"/>
    </w:pPr>
    <w:rPr>
      <w:rFonts w:ascii="Times New Roman" w:hAnsi="Times New Roman"/>
      <w:b/>
      <w:bCs/>
      <w:kern w:val="0"/>
      <w:sz w:val="32"/>
      <w:szCs w:val="32"/>
    </w:rPr>
  </w:style>
  <w:style w:type="character" w:default="1" w:styleId="7">
    <w:name w:val="Default Paragraph Font"/>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标题 3 字符"/>
    <w:link w:val="2"/>
    <w:qFormat/>
    <w:uiPriority w:val="0"/>
    <w:rPr>
      <w:b/>
      <w:bCs/>
      <w:sz w:val="32"/>
      <w:szCs w:val="32"/>
    </w:rPr>
  </w:style>
  <w:style w:type="character" w:customStyle="1" w:styleId="10">
    <w:name w:val="页脚 Char"/>
    <w:link w:val="3"/>
    <w:uiPriority w:val="0"/>
    <w:rPr>
      <w:sz w:val="18"/>
      <w:szCs w:val="18"/>
    </w:rPr>
  </w:style>
  <w:style w:type="character" w:customStyle="1" w:styleId="11">
    <w:name w:val="页眉 Char"/>
    <w:link w:val="4"/>
    <w:uiPriority w:val="0"/>
    <w:rPr>
      <w:sz w:val="18"/>
      <w:szCs w:val="18"/>
    </w:rPr>
  </w:style>
  <w:style w:type="character" w:customStyle="1" w:styleId="12">
    <w:name w:val="标题 3 字符1"/>
    <w:semiHidden/>
    <w:uiPriority w:val="9"/>
    <w:rPr>
      <w:rFonts w:ascii="Calibri" w:hAnsi="Calibri"/>
      <w:b/>
      <w:bCs/>
      <w:kern w:val="2"/>
      <w:sz w:val="32"/>
      <w:szCs w:val="32"/>
    </w:rPr>
  </w:style>
  <w:style w:type="character" w:customStyle="1" w:styleId="13">
    <w:name w:val="t1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2607</Words>
  <Characters>2974</Characters>
  <Lines>26</Lines>
  <Paragraphs>7</Paragraphs>
  <TotalTime>0</TotalTime>
  <ScaleCrop>false</ScaleCrop>
  <LinksUpToDate>false</LinksUpToDate>
  <CharactersWithSpaces>3013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2019-03-01T04:01:00Z</dcterms:created>
  <dc:creator>juvg</dc:creator>
  <cp:lastModifiedBy>Administrator</cp:lastModifiedBy>
  <dcterms:modified xsi:type="dcterms:W3CDTF">2023-03-20T02:14:03Z</dcterms:modified>
  <dc:title>juvg</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7DDE2AF05E634694896337BAB2C6A490</vt:lpwstr>
  </property>
</Properties>
</file>