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D0B3">
      <w:pPr>
        <w:ind w:firstLine="1600" w:firstLineChars="500"/>
        <w:rPr>
          <w:rFonts w:ascii="黑体" w:hAnsi="黑体" w:eastAsia="黑体"/>
          <w:bCs/>
          <w:sz w:val="32"/>
          <w:szCs w:val="32"/>
        </w:rPr>
      </w:pPr>
      <w:r>
        <w:rPr>
          <w:rFonts w:hint="eastAsia" w:ascii="黑体" w:hAnsi="黑体" w:eastAsia="黑体"/>
          <w:bCs/>
          <w:sz w:val="32"/>
          <w:szCs w:val="32"/>
        </w:rPr>
        <w:t>《中级商务英语》本科课程教学大纲</w:t>
      </w:r>
    </w:p>
    <w:p w14:paraId="53E64063">
      <w:pPr>
        <w:pStyle w:val="16"/>
        <w:spacing w:before="326" w:beforeLines="100" w:line="360" w:lineRule="auto"/>
        <w:ind w:firstLine="1960"/>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73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340FC3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19AE0B">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中级商务英语</w:t>
            </w:r>
          </w:p>
        </w:tc>
      </w:tr>
      <w:tr w14:paraId="0EE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10DC4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5DF9F22">
            <w:pPr>
              <w:widowControl w:val="0"/>
              <w:jc w:val="both"/>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（英文）I</w:t>
            </w:r>
            <w:r>
              <w:rPr>
                <w:rFonts w:ascii="黑体" w:hAnsi="黑体" w:eastAsia="黑体"/>
                <w:color w:val="000000" w:themeColor="text1"/>
                <w:sz w:val="21"/>
                <w:szCs w:val="21"/>
                <w14:textFill>
                  <w14:solidFill>
                    <w14:schemeClr w14:val="tx1"/>
                  </w14:solidFill>
                </w14:textFill>
              </w:rPr>
              <w:t xml:space="preserve">ntermediate Business English </w:t>
            </w:r>
          </w:p>
        </w:tc>
      </w:tr>
      <w:tr w14:paraId="2584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7C6D0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96E8C89">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5</w:t>
            </w:r>
          </w:p>
        </w:tc>
        <w:tc>
          <w:tcPr>
            <w:tcW w:w="2126" w:type="dxa"/>
            <w:gridSpan w:val="2"/>
            <w:vAlign w:val="center"/>
          </w:tcPr>
          <w:p w14:paraId="2112676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A165341">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0E05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DB8AA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E641F2A">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320C3BB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A5CA55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6F3EDE3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9E0540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1ACC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CDF78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49E2741">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42548C0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08DCBB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英语专业本科二年级</w:t>
            </w:r>
          </w:p>
        </w:tc>
      </w:tr>
      <w:tr w14:paraId="6271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F034A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E20F58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专业选修课程</w:t>
            </w:r>
          </w:p>
        </w:tc>
        <w:tc>
          <w:tcPr>
            <w:tcW w:w="2126" w:type="dxa"/>
            <w:gridSpan w:val="2"/>
            <w:vAlign w:val="center"/>
          </w:tcPr>
          <w:p w14:paraId="51776C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D83556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A3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4B3E4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9A205E9">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0"/>
                <w:szCs w:val="20"/>
              </w:rPr>
              <w:t xml:space="preserve">《新标准商务英语综合教程1》 </w:t>
            </w:r>
            <w:r>
              <w:rPr>
                <w:color w:val="000000"/>
                <w:sz w:val="20"/>
                <w:szCs w:val="20"/>
              </w:rPr>
              <w:t>Tonya Trappe</w:t>
            </w:r>
            <w:r>
              <w:rPr>
                <w:rFonts w:hint="eastAsia"/>
                <w:color w:val="000000"/>
                <w:sz w:val="20"/>
                <w:szCs w:val="20"/>
              </w:rPr>
              <w:t>、G</w:t>
            </w:r>
            <w:r>
              <w:rPr>
                <w:color w:val="000000"/>
                <w:sz w:val="20"/>
                <w:szCs w:val="20"/>
              </w:rPr>
              <w:t>raham Tullis</w:t>
            </w:r>
            <w:r>
              <w:rPr>
                <w:rFonts w:hint="eastAsia"/>
                <w:color w:val="000000"/>
                <w:sz w:val="20"/>
                <w:szCs w:val="20"/>
              </w:rPr>
              <w:t>、王立非主编，I</w:t>
            </w:r>
            <w:r>
              <w:rPr>
                <w:color w:val="000000"/>
                <w:sz w:val="20"/>
                <w:szCs w:val="20"/>
              </w:rPr>
              <w:t xml:space="preserve">SBN </w:t>
            </w:r>
            <w:r>
              <w:rPr>
                <w:rFonts w:hint="eastAsia"/>
                <w:color w:val="000000"/>
                <w:sz w:val="20"/>
                <w:szCs w:val="20"/>
              </w:rPr>
              <w:t>9</w:t>
            </w:r>
            <w:r>
              <w:rPr>
                <w:color w:val="000000"/>
                <w:sz w:val="20"/>
                <w:szCs w:val="20"/>
              </w:rPr>
              <w:t>787513597326</w:t>
            </w:r>
            <w:r>
              <w:rPr>
                <w:rFonts w:hint="eastAsia"/>
                <w:color w:val="000000"/>
                <w:sz w:val="20"/>
                <w:szCs w:val="20"/>
              </w:rPr>
              <w:t>，外语教学与研究出版社，2</w:t>
            </w:r>
            <w:r>
              <w:rPr>
                <w:color w:val="000000"/>
                <w:sz w:val="20"/>
                <w:szCs w:val="20"/>
              </w:rPr>
              <w:t>018</w:t>
            </w:r>
            <w:r>
              <w:rPr>
                <w:rFonts w:hint="eastAsia"/>
                <w:color w:val="000000"/>
                <w:sz w:val="20"/>
                <w:szCs w:val="20"/>
              </w:rPr>
              <w:t>年4月第1版，2022年5月第13次印刷</w:t>
            </w:r>
          </w:p>
        </w:tc>
        <w:tc>
          <w:tcPr>
            <w:tcW w:w="1413" w:type="dxa"/>
            <w:gridSpan w:val="2"/>
            <w:vAlign w:val="center"/>
          </w:tcPr>
          <w:p w14:paraId="17C991B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AE8CE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03AC8B3">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75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69222C7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F11577A">
            <w:pPr>
              <w:pStyle w:val="14"/>
              <w:widowControl w:val="0"/>
              <w:jc w:val="both"/>
              <w:rPr>
                <w:sz w:val="20"/>
                <w:szCs w:val="20"/>
              </w:rPr>
            </w:pPr>
            <w:r>
              <w:rPr>
                <w:rFonts w:hint="eastAsia"/>
                <w:sz w:val="20"/>
                <w:szCs w:val="20"/>
              </w:rPr>
              <w:t>基础英语1 2020057（2）基础英语2 2020058（2）</w:t>
            </w:r>
          </w:p>
        </w:tc>
      </w:tr>
      <w:tr w14:paraId="3F23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38AEE6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F95EA4C">
            <w:pPr>
              <w:pStyle w:val="14"/>
              <w:widowControl w:val="0"/>
              <w:jc w:val="both"/>
              <w:rPr>
                <w:sz w:val="20"/>
                <w:szCs w:val="20"/>
              </w:rPr>
            </w:pPr>
            <w:r>
              <w:rPr>
                <w:rFonts w:hint="eastAsia" w:asciiTheme="minorEastAsia" w:hAnsiTheme="minorEastAsia"/>
                <w:bCs/>
                <w:sz w:val="20"/>
                <w:szCs w:val="20"/>
              </w:rPr>
              <w:t>我院英语本科(商务方向)专业教学的目标旨在培养英语技能与商务专业知识兼备的高素质复合型、应用型人才。该专业</w:t>
            </w:r>
            <w:r>
              <w:rPr>
                <w:rFonts w:hint="eastAsia"/>
                <w:sz w:val="20"/>
                <w:szCs w:val="20"/>
              </w:rPr>
              <w:t>毕业生首先应具有深厚的爱国情怀和高度社会责任感，在具备扎实的英语语言功底的同时，还要掌握一定的商务理论知识、较强的商务管理及市场营销与调研等实际操作能力，并具有良好的人文素养及跨文化交流与沟通能力。</w:t>
            </w:r>
          </w:p>
          <w:p w14:paraId="0F1A96C7">
            <w:pPr>
              <w:pStyle w:val="14"/>
              <w:widowControl w:val="0"/>
              <w:jc w:val="both"/>
              <w:rPr>
                <w:rFonts w:ascii="宋体" w:hAnsi="宋体"/>
                <w:sz w:val="20"/>
                <w:szCs w:val="20"/>
              </w:rPr>
            </w:pPr>
            <w:r>
              <w:rPr>
                <w:rFonts w:hint="eastAsia" w:ascii="宋体" w:hAnsi="宋体"/>
                <w:sz w:val="20"/>
                <w:szCs w:val="20"/>
              </w:rPr>
              <w:t>中级商务英语作为商务方向企业管理类课程的入门课，在一年级基础英语课程的基础上，帮助学生实现从普通英语向商务类英语转换的任务，以《新标准商务英语综合教程1》等课本中英语工作场景和工作内容为基本学习素材，为学生提供这类课程的整体框架知识，起到为后续课程打基础的作用。本课程在教授学生专业知识技能的同时，落实课程思政，培养学生坚定的马克思主义信仰和中国特色社会主义信念，培养学生</w:t>
            </w:r>
            <w:r>
              <w:rPr>
                <w:rFonts w:ascii="宋体" w:hAnsi="宋体"/>
                <w:bCs/>
                <w:sz w:val="20"/>
                <w:szCs w:val="20"/>
              </w:rPr>
              <w:t>爱岗敬业，热爱所学专业</w:t>
            </w:r>
            <w:r>
              <w:rPr>
                <w:rFonts w:hint="eastAsia" w:ascii="宋体" w:hAnsi="宋体"/>
                <w:bCs/>
                <w:sz w:val="20"/>
                <w:szCs w:val="20"/>
              </w:rPr>
              <w:t>，勤学多练，</w:t>
            </w:r>
            <w:r>
              <w:rPr>
                <w:rFonts w:ascii="宋体" w:hAnsi="宋体"/>
                <w:bCs/>
                <w:sz w:val="20"/>
                <w:szCs w:val="20"/>
              </w:rPr>
              <w:t>在实习实践中自觉遵守职业规范，具备职业道德操守。</w:t>
            </w:r>
          </w:p>
          <w:p w14:paraId="70BDDF11">
            <w:pPr>
              <w:pStyle w:val="14"/>
              <w:widowControl w:val="0"/>
              <w:jc w:val="both"/>
            </w:pPr>
            <w:r>
              <w:rPr>
                <w:rFonts w:hint="eastAsia"/>
                <w:sz w:val="20"/>
                <w:szCs w:val="20"/>
              </w:rPr>
              <w:t>通过这门课程的教学，使</w:t>
            </w:r>
            <w:r>
              <w:rPr>
                <w:rFonts w:hint="eastAsia" w:asciiTheme="minorEastAsia" w:hAnsiTheme="minorEastAsia"/>
                <w:bCs/>
                <w:sz w:val="20"/>
                <w:szCs w:val="20"/>
              </w:rPr>
              <w:t>英语本科(商务)学生不仅具备商务环境下的英语语言技能，还能了解企业工作的实际环境以及具体工作内容和要求。同时课内</w:t>
            </w:r>
            <w:r>
              <w:rPr>
                <w:rFonts w:hint="eastAsia"/>
                <w:bCs/>
                <w:sz w:val="20"/>
                <w:szCs w:val="20"/>
              </w:rPr>
              <w:t>实践教学</w:t>
            </w:r>
            <w:r>
              <w:rPr>
                <w:rFonts w:hint="eastAsia"/>
                <w:sz w:val="20"/>
                <w:szCs w:val="20"/>
              </w:rPr>
              <w:t>使学生能够具备一定的商务领域的实际操作知识和技能</w:t>
            </w:r>
            <w:r>
              <w:rPr>
                <w:rFonts w:hint="eastAsia" w:asciiTheme="minorEastAsia" w:hAnsiTheme="minorEastAsia"/>
                <w:bCs/>
                <w:sz w:val="20"/>
                <w:szCs w:val="20"/>
              </w:rPr>
              <w:t>。</w:t>
            </w:r>
          </w:p>
        </w:tc>
      </w:tr>
      <w:tr w14:paraId="37A7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4DB4227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299F70F">
            <w:pPr>
              <w:widowControl w:val="0"/>
              <w:snapToGrid w:val="0"/>
              <w:spacing w:line="288" w:lineRule="auto"/>
              <w:jc w:val="both"/>
              <w:rPr>
                <w:rFonts w:ascii="Calibri" w:hAnsi="Calibri" w:cs="Times New Roman"/>
                <w:color w:val="000000"/>
                <w:kern w:val="2"/>
                <w:sz w:val="20"/>
                <w:szCs w:val="20"/>
              </w:rPr>
            </w:pPr>
            <w:r>
              <w:rPr>
                <w:rFonts w:hint="eastAsia" w:ascii="Calibri" w:hAnsi="Calibri" w:cs="Times New Roman"/>
                <w:color w:val="000000"/>
                <w:kern w:val="2"/>
                <w:sz w:val="20"/>
                <w:szCs w:val="20"/>
              </w:rPr>
              <w:t>该课程以前期开设的基础英语课为基础，学生应具备一定的英语听说读写能力，并有较好的自学能力和学习习惯，</w:t>
            </w:r>
            <w:r>
              <w:rPr>
                <w:rFonts w:hint="eastAsia"/>
                <w:color w:val="000000"/>
                <w:sz w:val="20"/>
                <w:szCs w:val="20"/>
              </w:rPr>
              <w:t>具有基本的思辨与创新思维，</w:t>
            </w:r>
            <w:r>
              <w:rPr>
                <w:rFonts w:hint="eastAsia" w:ascii="Calibri" w:hAnsi="Calibri" w:cs="Times New Roman"/>
                <w:color w:val="000000"/>
                <w:kern w:val="2"/>
                <w:sz w:val="20"/>
                <w:szCs w:val="20"/>
              </w:rPr>
              <w:t>在课程开设前对相关商务背景有一定了解。</w:t>
            </w:r>
          </w:p>
        </w:tc>
      </w:tr>
      <w:tr w14:paraId="4742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9" w:hRule="atLeast"/>
        </w:trPr>
        <w:tc>
          <w:tcPr>
            <w:tcW w:w="1691" w:type="dxa"/>
            <w:tcBorders>
              <w:top w:val="double" w:color="auto" w:sz="4" w:space="0"/>
              <w:left w:val="single" w:color="auto" w:sz="12" w:space="0"/>
            </w:tcBorders>
            <w:shd w:val="clear" w:color="auto" w:fill="auto"/>
            <w:vAlign w:val="center"/>
          </w:tcPr>
          <w:p w14:paraId="39D04BD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6FAC370">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948055" cy="274955"/>
                  <wp:effectExtent l="0" t="0" r="4445" b="10795"/>
                  <wp:docPr id="1012912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2544"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258" cy="283324"/>
                          </a:xfrm>
                          <a:prstGeom prst="rect">
                            <a:avLst/>
                          </a:prstGeom>
                        </pic:spPr>
                      </pic:pic>
                    </a:graphicData>
                  </a:graphic>
                </wp:inline>
              </w:drawing>
            </w:r>
            <w:r>
              <w:rPr>
                <w:rFonts w:hint="eastAsia"/>
                <w:sz w:val="21"/>
                <w:szCs w:val="21"/>
              </w:rPr>
              <w:t xml:space="preserve">         （签名）</w:t>
            </w:r>
          </w:p>
        </w:tc>
        <w:tc>
          <w:tcPr>
            <w:tcW w:w="1425" w:type="dxa"/>
            <w:gridSpan w:val="2"/>
            <w:tcBorders>
              <w:top w:val="double" w:color="auto" w:sz="4" w:space="0"/>
            </w:tcBorders>
            <w:vAlign w:val="center"/>
          </w:tcPr>
          <w:p w14:paraId="5D285FF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0F6CDD0">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lang w:val="en-US" w:eastAsia="zh-CN"/>
              </w:rPr>
              <w:t>.</w:t>
            </w:r>
            <w:r>
              <w:rPr>
                <w:rFonts w:hint="eastAsia" w:ascii="Times New Roman" w:hAnsi="Times New Roman"/>
                <w:color w:val="000000"/>
                <w:sz w:val="21"/>
                <w:szCs w:val="21"/>
              </w:rPr>
              <w:t>9</w:t>
            </w:r>
          </w:p>
        </w:tc>
      </w:tr>
      <w:tr w14:paraId="6261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873E1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F65F616">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r>
              <w:rPr>
                <w:rFonts w:hint="eastAsia"/>
                <w:sz w:val="21"/>
                <w:szCs w:val="21"/>
              </w:rPr>
              <w:t>（签名）</w:t>
            </w:r>
          </w:p>
        </w:tc>
        <w:tc>
          <w:tcPr>
            <w:tcW w:w="1425" w:type="dxa"/>
            <w:gridSpan w:val="2"/>
            <w:vAlign w:val="center"/>
          </w:tcPr>
          <w:p w14:paraId="459E7BE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C03A1C2">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lang w:val="en-US" w:eastAsia="zh-CN"/>
              </w:rPr>
              <w:t>.</w:t>
            </w:r>
            <w:r>
              <w:rPr>
                <w:rFonts w:hint="eastAsia" w:ascii="Times New Roman" w:hAnsi="Times New Roman"/>
                <w:color w:val="000000"/>
                <w:sz w:val="21"/>
                <w:szCs w:val="21"/>
              </w:rPr>
              <w:t>9</w:t>
            </w:r>
          </w:p>
        </w:tc>
      </w:tr>
      <w:tr w14:paraId="744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03A01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C525559">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02310" cy="415290"/>
                  <wp:effectExtent l="0" t="0" r="2540" b="3810"/>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7"/>
                          <a:stretch>
                            <a:fillRect/>
                          </a:stretch>
                        </pic:blipFill>
                        <pic:spPr>
                          <a:xfrm>
                            <a:off x="0" y="0"/>
                            <a:ext cx="702310" cy="41529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5DA1230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9C8B7E1">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lang w:val="en-US" w:eastAsia="zh-CN"/>
              </w:rPr>
              <w:t>.</w:t>
            </w:r>
            <w:r>
              <w:rPr>
                <w:rFonts w:hint="eastAsia" w:ascii="Times New Roman" w:hAnsi="Times New Roman"/>
                <w:color w:val="000000"/>
                <w:sz w:val="21"/>
                <w:szCs w:val="21"/>
              </w:rPr>
              <w:t>9</w:t>
            </w:r>
          </w:p>
        </w:tc>
      </w:tr>
    </w:tbl>
    <w:p w14:paraId="63C44197">
      <w:pPr>
        <w:pStyle w:val="16"/>
        <w:spacing w:before="326" w:beforeLines="100" w:line="360" w:lineRule="auto"/>
        <w:jc w:val="both"/>
        <w:rPr>
          <w:rFonts w:ascii="黑体" w:hAnsi="宋体"/>
        </w:rPr>
      </w:pPr>
      <w:r>
        <w:rPr>
          <w:rFonts w:hint="eastAsia" w:ascii="黑体" w:hAnsi="宋体"/>
        </w:rPr>
        <w:t>二、课程目标与毕业要求</w:t>
      </w:r>
    </w:p>
    <w:p w14:paraId="7B151E36">
      <w:pPr>
        <w:pStyle w:val="17"/>
        <w:spacing w:before="81" w:after="163"/>
        <w:jc w:val="both"/>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747B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434EE1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D9E8E3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6C1E3A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83BF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69913C0">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9976DA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155EB98">
            <w:pPr>
              <w:pStyle w:val="14"/>
              <w:jc w:val="left"/>
              <w:rPr>
                <w:rFonts w:ascii="宋体" w:hAnsi="宋体"/>
                <w:bCs/>
              </w:rPr>
            </w:pPr>
            <w:r>
              <w:rPr>
                <w:rFonts w:hint="eastAsia" w:ascii="宋体" w:hAnsi="宋体"/>
                <w:bCs/>
              </w:rPr>
              <w:t>具备一定的英语语言功底，理解商务领域相关基础理论知识。</w:t>
            </w:r>
          </w:p>
        </w:tc>
      </w:tr>
      <w:tr w14:paraId="1DB55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F798108">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357CB2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3A1A4AD3">
            <w:pPr>
              <w:pStyle w:val="14"/>
              <w:jc w:val="left"/>
              <w:rPr>
                <w:rFonts w:ascii="宋体" w:hAnsi="宋体"/>
                <w:bCs/>
              </w:rPr>
            </w:pPr>
            <w:r>
              <w:rPr>
                <w:rFonts w:hint="eastAsia" w:ascii="宋体" w:hAnsi="宋体"/>
                <w:bCs/>
              </w:rPr>
              <w:t>能够在模拟实际商务环境中运用相关语言技能进行国际商务沟通和交际。</w:t>
            </w:r>
          </w:p>
        </w:tc>
      </w:tr>
      <w:tr w14:paraId="487CC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4" w:hRule="atLeast"/>
          <w:jc w:val="center"/>
        </w:trPr>
        <w:tc>
          <w:tcPr>
            <w:tcW w:w="1235" w:type="dxa"/>
            <w:vMerge w:val="continue"/>
            <w:vAlign w:val="center"/>
          </w:tcPr>
          <w:p w14:paraId="504F319A">
            <w:pPr>
              <w:pStyle w:val="14"/>
              <w:rPr>
                <w:rFonts w:ascii="宋体" w:hAnsi="宋体"/>
              </w:rPr>
            </w:pPr>
          </w:p>
        </w:tc>
        <w:tc>
          <w:tcPr>
            <w:tcW w:w="782" w:type="dxa"/>
            <w:shd w:val="clear" w:color="auto" w:fill="auto"/>
            <w:vAlign w:val="center"/>
          </w:tcPr>
          <w:p w14:paraId="092EBE1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13EFD00">
            <w:pPr>
              <w:pStyle w:val="14"/>
              <w:jc w:val="left"/>
              <w:rPr>
                <w:rFonts w:ascii="宋体" w:hAnsi="宋体"/>
                <w:bCs/>
              </w:rPr>
            </w:pPr>
            <w:r>
              <w:rPr>
                <w:rFonts w:hint="eastAsia" w:ascii="宋体" w:hAnsi="宋体"/>
                <w:bCs/>
              </w:rPr>
              <w:t>能够运用数字化网络手段收集相关商务领域的各种数据和信息，从中选取有效资料为己所用，主动安排学习计划，完成自主实践任务。</w:t>
            </w:r>
          </w:p>
        </w:tc>
      </w:tr>
      <w:tr w14:paraId="67277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76CCB272">
            <w:pPr>
              <w:pStyle w:val="14"/>
              <w:rPr>
                <w:rFonts w:ascii="宋体" w:hAnsi="宋体"/>
              </w:rPr>
            </w:pPr>
          </w:p>
        </w:tc>
        <w:tc>
          <w:tcPr>
            <w:tcW w:w="782" w:type="dxa"/>
            <w:shd w:val="clear" w:color="auto" w:fill="auto"/>
            <w:vAlign w:val="center"/>
          </w:tcPr>
          <w:p w14:paraId="25E6B00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DFBFD0C">
            <w:pPr>
              <w:pStyle w:val="14"/>
              <w:jc w:val="left"/>
              <w:rPr>
                <w:rFonts w:ascii="宋体" w:hAnsi="宋体"/>
                <w:bCs/>
              </w:rPr>
            </w:pPr>
            <w:r>
              <w:rPr>
                <w:rFonts w:hint="eastAsia" w:cs="Times New Roman"/>
              </w:rPr>
              <w:t>能够积极参与社会实践，体验团队合作的精神，建立社会服务意识，提升思辩能力和解决实际问题的能力。</w:t>
            </w:r>
          </w:p>
        </w:tc>
      </w:tr>
      <w:tr w14:paraId="4657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35" w:type="dxa"/>
            <w:vAlign w:val="center"/>
          </w:tcPr>
          <w:p w14:paraId="70E1A9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C2CA425">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7A1DD1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17AC4175">
            <w:pPr>
              <w:pStyle w:val="14"/>
              <w:jc w:val="left"/>
              <w:rPr>
                <w:rFonts w:ascii="宋体" w:hAnsi="宋体"/>
                <w:bCs/>
              </w:rPr>
            </w:pPr>
            <w:r>
              <w:rPr>
                <w:rFonts w:hint="eastAsia" w:ascii="宋体" w:hAnsi="宋体"/>
                <w:bCs/>
              </w:rPr>
              <w:t>专业知识与德育元素自然和谐，培养深厚的中国特色社会主义家国情怀和高度社会责任感，明确爱国、诚信、敬业、友爱的精神，了解商务行业相关法律法规及职业道德规范，拓展国际视野，坚定文化自信。</w:t>
            </w:r>
          </w:p>
        </w:tc>
      </w:tr>
    </w:tbl>
    <w:p w14:paraId="355F4D8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E5E54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242D4B85">
            <w:pPr>
              <w:pStyle w:val="14"/>
              <w:widowControl w:val="0"/>
              <w:jc w:val="left"/>
              <w:rPr>
                <w:rFonts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8B6F83E">
            <w:pPr>
              <w:pStyle w:val="14"/>
              <w:widowControl w:val="0"/>
              <w:jc w:val="left"/>
              <w:rPr>
                <w:rFonts w:ascii="Cambria Math" w:hAnsi="Cambria Math" w:cs="Cambria Math"/>
                <w:szCs w:val="24"/>
              </w:rPr>
            </w:pPr>
            <w:r>
              <w:rPr>
                <w:rFonts w:hint="eastAsia" w:ascii="Cambria Math" w:hAnsi="Cambria Math" w:cs="Cambria Math"/>
                <w:szCs w:val="24"/>
              </w:rPr>
              <w:t>⑤爱岗敬业，热爱所学专业，勤学多练，锤炼技能。熟悉本专业相关的法律法规，在实习实践中自觉遵守职业规范，具备职业道德操守。</w:t>
            </w:r>
          </w:p>
        </w:tc>
      </w:tr>
      <w:tr w14:paraId="51E13DD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3ED631D">
            <w:pPr>
              <w:pStyle w:val="14"/>
              <w:widowControl w:val="0"/>
              <w:jc w:val="left"/>
              <w:rPr>
                <w:rFonts w:ascii="宋体" w:hAnsi="宋体"/>
                <w:bCs/>
              </w:rPr>
            </w:pPr>
            <w:r>
              <w:rPr>
                <w:rFonts w:cs="Times New Roman"/>
              </w:rPr>
              <w:t>LO</w:t>
            </w:r>
            <w:r>
              <w:rPr>
                <w:rFonts w:hint="eastAsia" w:cs="Times New Roman"/>
              </w:rPr>
              <w:t>2</w:t>
            </w:r>
            <w:r>
              <w:rPr>
                <w:rFonts w:hint="eastAsia" w:ascii="宋体" w:hAnsi="宋体"/>
                <w:bCs/>
              </w:rPr>
              <w:t>专业能力：具有人文科学素养，具备从事某项工作或专业的理论知识、实践能力。</w:t>
            </w:r>
          </w:p>
          <w:p w14:paraId="650026E6">
            <w:pPr>
              <w:pStyle w:val="14"/>
              <w:widowControl w:val="0"/>
              <w:jc w:val="left"/>
              <w:rPr>
                <w:rFonts w:ascii="宋体" w:hAnsi="宋体"/>
                <w:bCs/>
              </w:rPr>
            </w:pPr>
            <w:r>
              <w:rPr>
                <w:rFonts w:hint="eastAsia" w:ascii="Calibri" w:hAnsi="Calibri" w:cs="Calibri"/>
                <w:bCs/>
              </w:rPr>
              <w:t>⑤掌握商务实践知识，具有较强的外贸实务操作能力（国际商务方向）。</w:t>
            </w:r>
          </w:p>
        </w:tc>
      </w:tr>
      <w:tr w14:paraId="275FF2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90D42DB">
            <w:pPr>
              <w:pStyle w:val="14"/>
              <w:widowControl w:val="0"/>
              <w:jc w:val="left"/>
              <w:rPr>
                <w:rFonts w:ascii="宋体" w:hAnsi="宋体"/>
                <w:bCs/>
              </w:rPr>
            </w:pPr>
            <w:r>
              <w:rPr>
                <w:rFonts w:cs="Times New Roman"/>
                <w:bCs/>
              </w:rPr>
              <w:t>LO</w:t>
            </w:r>
            <w:r>
              <w:rPr>
                <w:rFonts w:hint="eastAsia" w:cs="Times New Roman"/>
                <w:bCs/>
              </w:rPr>
              <w:t>4</w:t>
            </w:r>
            <w:r>
              <w:rPr>
                <w:rFonts w:hint="eastAsia" w:ascii="宋体" w:hAnsi="宋体"/>
                <w:bCs/>
              </w:rPr>
              <w:t>自主学习：能根据环境需要确定自己的学习目标，并主动地通过搜集信息、分析信息、讨论、实践、质疑、创造等方法来实现学习目标。</w:t>
            </w:r>
          </w:p>
          <w:p w14:paraId="1CCAB3C9">
            <w:pPr>
              <w:pStyle w:val="14"/>
              <w:widowControl w:val="0"/>
              <w:jc w:val="left"/>
              <w:rPr>
                <w:rFonts w:ascii="宋体" w:hAnsi="宋体"/>
                <w:bCs/>
              </w:rPr>
            </w:pPr>
            <w:r>
              <w:rPr>
                <w:rFonts w:ascii="Cambria Math" w:hAnsi="Cambria Math" w:cs="Cambria Math"/>
                <w:szCs w:val="24"/>
              </w:rPr>
              <w:t>①</w:t>
            </w:r>
            <w:r>
              <w:rPr>
                <w:rFonts w:hint="eastAsia" w:ascii="宋体" w:hAnsi="宋体"/>
                <w:sz w:val="20"/>
                <w:szCs w:val="20"/>
              </w:rPr>
              <w:t>能根据需要确定学习目标，并设计学习计划。</w:t>
            </w:r>
          </w:p>
        </w:tc>
      </w:tr>
      <w:tr w14:paraId="12B2E7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A4CC70">
            <w:pPr>
              <w:pStyle w:val="14"/>
              <w:widowControl w:val="0"/>
              <w:jc w:val="left"/>
              <w:rPr>
                <w:rFonts w:cs="Times New Roman"/>
                <w:bCs/>
              </w:rPr>
            </w:pPr>
            <w:r>
              <w:rPr>
                <w:rFonts w:cs="Times New Roman"/>
                <w:bCs/>
              </w:rPr>
              <w:t>LO6协同创新：同群体保持良好的合作关系，做集体中的积极成员，善于自我管理和团队管理；善于从多个维度思考问题，利用自己的知识与实践来提出新设想。</w:t>
            </w:r>
          </w:p>
          <w:p w14:paraId="4BA84D86">
            <w:pPr>
              <w:pStyle w:val="14"/>
              <w:widowControl w:val="0"/>
              <w:jc w:val="left"/>
              <w:rPr>
                <w:rFonts w:ascii="宋体" w:hAnsi="宋体"/>
                <w:sz w:val="20"/>
                <w:szCs w:val="20"/>
              </w:rPr>
            </w:pPr>
            <w:r>
              <w:rPr>
                <w:rFonts w:hint="eastAsia" w:ascii="宋体" w:hAnsi="宋体"/>
                <w:sz w:val="20"/>
                <w:szCs w:val="20"/>
              </w:rPr>
              <w:t>②有质疑精神，能有逻辑的分析与批判。</w:t>
            </w:r>
          </w:p>
        </w:tc>
      </w:tr>
    </w:tbl>
    <w:p w14:paraId="74742A7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85"/>
        <w:gridCol w:w="4765"/>
        <w:gridCol w:w="1349"/>
      </w:tblGrid>
      <w:tr w14:paraId="5A6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78E2CDD">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45BEA16">
            <w:pPr>
              <w:pStyle w:val="13"/>
              <w:rPr>
                <w:szCs w:val="16"/>
              </w:rPr>
            </w:pPr>
            <w:r>
              <w:rPr>
                <w:rFonts w:hint="eastAsia"/>
                <w:szCs w:val="16"/>
              </w:rPr>
              <w:t>指标点</w:t>
            </w:r>
          </w:p>
        </w:tc>
        <w:tc>
          <w:tcPr>
            <w:tcW w:w="782" w:type="dxa"/>
            <w:tcBorders>
              <w:top w:val="single" w:color="auto" w:sz="12" w:space="0"/>
              <w:right w:val="double" w:color="auto" w:sz="4" w:space="0"/>
            </w:tcBorders>
            <w:shd w:val="clear" w:color="auto" w:fill="auto"/>
            <w:vAlign w:val="center"/>
          </w:tcPr>
          <w:p w14:paraId="253012A1">
            <w:pPr>
              <w:pStyle w:val="13"/>
              <w:rPr>
                <w:szCs w:val="16"/>
              </w:rPr>
            </w:pPr>
            <w:r>
              <w:rPr>
                <w:rFonts w:hint="eastAsia"/>
                <w:szCs w:val="16"/>
              </w:rPr>
              <w:t>支撑度</w:t>
            </w:r>
          </w:p>
        </w:tc>
        <w:tc>
          <w:tcPr>
            <w:tcW w:w="4775" w:type="dxa"/>
            <w:tcBorders>
              <w:top w:val="single" w:color="auto" w:sz="12" w:space="0"/>
            </w:tcBorders>
            <w:vAlign w:val="center"/>
          </w:tcPr>
          <w:p w14:paraId="40476CA6">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F20050F">
            <w:pPr>
              <w:pStyle w:val="13"/>
              <w:rPr>
                <w:szCs w:val="16"/>
              </w:rPr>
            </w:pPr>
            <w:r>
              <w:rPr>
                <w:rFonts w:hint="eastAsia"/>
                <w:szCs w:val="16"/>
              </w:rPr>
              <w:t>对指标点的贡献度</w:t>
            </w:r>
          </w:p>
        </w:tc>
      </w:tr>
      <w:tr w14:paraId="4D34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5FD712A">
            <w:pPr>
              <w:pStyle w:val="14"/>
              <w:ind w:firstLine="1476"/>
            </w:pPr>
            <w:r>
              <w:rPr>
                <w:rFonts w:cs="Times New Roman"/>
                <w:b/>
                <w:bCs/>
              </w:rPr>
              <w:t>LO1</w:t>
            </w:r>
          </w:p>
        </w:tc>
        <w:tc>
          <w:tcPr>
            <w:tcW w:w="794" w:type="dxa"/>
            <w:tcBorders>
              <w:left w:val="single" w:color="auto" w:sz="4" w:space="0"/>
            </w:tcBorders>
            <w:vAlign w:val="center"/>
          </w:tcPr>
          <w:p w14:paraId="46EB4AAC">
            <w:pPr>
              <w:pStyle w:val="14"/>
              <w:rPr>
                <w:rFonts w:cs="Times New Roman"/>
                <w:bCs/>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,5)</w:instrText>
            </w:r>
            <w:r>
              <w:rPr>
                <w:rFonts w:cs="Times New Roman"/>
              </w:rPr>
              <w:fldChar w:fldCharType="end"/>
            </w:r>
          </w:p>
        </w:tc>
        <w:tc>
          <w:tcPr>
            <w:tcW w:w="782" w:type="dxa"/>
            <w:tcBorders>
              <w:right w:val="double" w:color="auto" w:sz="4" w:space="0"/>
            </w:tcBorders>
            <w:shd w:val="clear" w:color="auto" w:fill="auto"/>
            <w:vAlign w:val="center"/>
          </w:tcPr>
          <w:p w14:paraId="4B9C9056">
            <w:pPr>
              <w:pStyle w:val="14"/>
              <w:rPr>
                <w:rFonts w:ascii="宋体" w:hAnsi="宋体"/>
              </w:rPr>
            </w:pPr>
            <w:r>
              <w:rPr>
                <w:rFonts w:cs="Times New Roman"/>
              </w:rPr>
              <w:t>M</w:t>
            </w:r>
          </w:p>
        </w:tc>
        <w:tc>
          <w:tcPr>
            <w:tcW w:w="4775" w:type="dxa"/>
            <w:tcBorders>
              <w:bottom w:val="single" w:color="auto" w:sz="4" w:space="0"/>
            </w:tcBorders>
          </w:tcPr>
          <w:p w14:paraId="505A03A4">
            <w:pPr>
              <w:pStyle w:val="14"/>
              <w:jc w:val="both"/>
              <w:rPr>
                <w:rFonts w:ascii="宋体" w:hAnsi="宋体"/>
                <w:bCs/>
              </w:rPr>
            </w:pPr>
            <w:r>
              <w:rPr>
                <w:rFonts w:cs="Times New Roman"/>
                <w:bCs/>
              </w:rPr>
              <w:t>5</w:t>
            </w:r>
            <w:r>
              <w:rPr>
                <w:rFonts w:hint="eastAsia" w:ascii="宋体" w:hAnsi="宋体"/>
                <w:bCs/>
              </w:rPr>
              <w:t>.</w:t>
            </w:r>
            <w:r>
              <w:rPr>
                <w:rFonts w:hint="eastAsia"/>
              </w:rPr>
              <w:t xml:space="preserve"> </w:t>
            </w:r>
            <w:r>
              <w:rPr>
                <w:rFonts w:hint="eastAsia" w:ascii="宋体" w:hAnsi="宋体"/>
                <w:bCs/>
              </w:rPr>
              <w:t>专业知识与德育元素自然和谐，培养深厚的中国特色社会主义家国情怀和高度社会责任感，明确爱国、诚信、敬业、友爱的精神，了解商务行业相关法律法规及职业道德规范，拓展国际视野，坚定文化自信。</w:t>
            </w:r>
          </w:p>
        </w:tc>
        <w:tc>
          <w:tcPr>
            <w:tcW w:w="1348" w:type="dxa"/>
            <w:tcBorders>
              <w:right w:val="single" w:color="auto" w:sz="12" w:space="0"/>
            </w:tcBorders>
            <w:vAlign w:val="center"/>
          </w:tcPr>
          <w:p w14:paraId="284A8099">
            <w:pPr>
              <w:pStyle w:val="14"/>
              <w:rPr>
                <w:rFonts w:ascii="宋体" w:hAnsi="宋体"/>
                <w:bCs/>
              </w:rPr>
            </w:pPr>
            <w:r>
              <w:rPr>
                <w:rFonts w:ascii="宋体" w:hAnsi="宋体"/>
                <w:bCs/>
              </w:rPr>
              <w:t>100%</w:t>
            </w:r>
          </w:p>
        </w:tc>
      </w:tr>
      <w:tr w14:paraId="0B4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777" w:type="dxa"/>
            <w:vMerge w:val="restart"/>
            <w:tcBorders>
              <w:left w:val="single" w:color="auto" w:sz="12" w:space="0"/>
              <w:right w:val="single" w:color="auto" w:sz="4" w:space="0"/>
            </w:tcBorders>
            <w:shd w:val="clear" w:color="auto" w:fill="auto"/>
            <w:vAlign w:val="center"/>
          </w:tcPr>
          <w:p w14:paraId="66E76B76">
            <w:pPr>
              <w:pStyle w:val="14"/>
            </w:pPr>
            <w:r>
              <w:rPr>
                <w:rFonts w:cs="Times New Roman"/>
                <w:b/>
                <w:bCs/>
              </w:rPr>
              <w:t>LO</w:t>
            </w:r>
            <w:r>
              <w:rPr>
                <w:rFonts w:hint="eastAsia" w:cs="Times New Roman"/>
                <w:b/>
                <w:bCs/>
              </w:rPr>
              <w:t>2</w:t>
            </w:r>
          </w:p>
        </w:tc>
        <w:tc>
          <w:tcPr>
            <w:tcW w:w="794" w:type="dxa"/>
            <w:vMerge w:val="restart"/>
            <w:tcBorders>
              <w:left w:val="single" w:color="auto" w:sz="4" w:space="0"/>
            </w:tcBorders>
            <w:vAlign w:val="center"/>
          </w:tcPr>
          <w:p w14:paraId="57126F59">
            <w:pPr>
              <w:pStyle w:val="14"/>
              <w:rPr>
                <w:rFonts w:cs="Times New Roman"/>
                <w:bCs/>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,5)</w:instrText>
            </w:r>
            <w:r>
              <w:rPr>
                <w:rFonts w:cs="Times New Roman"/>
              </w:rPr>
              <w:fldChar w:fldCharType="end"/>
            </w:r>
          </w:p>
        </w:tc>
        <w:tc>
          <w:tcPr>
            <w:tcW w:w="782" w:type="dxa"/>
            <w:vMerge w:val="restart"/>
            <w:tcBorders>
              <w:right w:val="double" w:color="auto" w:sz="4" w:space="0"/>
            </w:tcBorders>
            <w:shd w:val="clear" w:color="auto" w:fill="auto"/>
            <w:vAlign w:val="center"/>
          </w:tcPr>
          <w:p w14:paraId="79468F3B">
            <w:pPr>
              <w:pStyle w:val="14"/>
              <w:ind w:firstLine="210" w:firstLineChars="100"/>
              <w:jc w:val="left"/>
              <w:rPr>
                <w:rFonts w:ascii="宋体" w:hAnsi="宋体"/>
              </w:rPr>
            </w:pPr>
            <w:r>
              <w:rPr>
                <w:rFonts w:cs="Times New Roman"/>
              </w:rPr>
              <w:t>H</w:t>
            </w:r>
          </w:p>
        </w:tc>
        <w:tc>
          <w:tcPr>
            <w:tcW w:w="4775" w:type="dxa"/>
            <w:vAlign w:val="center"/>
          </w:tcPr>
          <w:p w14:paraId="22F1CBD6">
            <w:pPr>
              <w:pStyle w:val="14"/>
              <w:jc w:val="left"/>
              <w:rPr>
                <w:rFonts w:ascii="宋体" w:hAnsi="宋体"/>
                <w:bCs/>
              </w:rPr>
            </w:pPr>
            <w:r>
              <w:rPr>
                <w:rFonts w:cs="Times New Roman"/>
                <w:bCs/>
              </w:rPr>
              <w:t>1.</w:t>
            </w:r>
            <w:r>
              <w:rPr>
                <w:rFonts w:hint="eastAsia"/>
              </w:rPr>
              <w:t xml:space="preserve"> </w:t>
            </w:r>
            <w:r>
              <w:rPr>
                <w:rFonts w:hint="eastAsia" w:ascii="宋体" w:hAnsi="宋体"/>
                <w:bCs/>
              </w:rPr>
              <w:t>具备一定的英语语言功底，理解商务领域相关基础理论知识。</w:t>
            </w:r>
          </w:p>
        </w:tc>
        <w:tc>
          <w:tcPr>
            <w:tcW w:w="1348" w:type="dxa"/>
            <w:tcBorders>
              <w:right w:val="single" w:color="auto" w:sz="12" w:space="0"/>
            </w:tcBorders>
            <w:vAlign w:val="center"/>
          </w:tcPr>
          <w:p w14:paraId="31259EE5">
            <w:pPr>
              <w:pStyle w:val="14"/>
              <w:rPr>
                <w:rFonts w:ascii="宋体" w:hAnsi="宋体"/>
                <w:bCs/>
              </w:rPr>
            </w:pPr>
            <w:r>
              <w:rPr>
                <w:rFonts w:ascii="宋体" w:hAnsi="宋体"/>
                <w:bCs/>
              </w:rPr>
              <w:t>50%</w:t>
            </w:r>
          </w:p>
        </w:tc>
      </w:tr>
      <w:tr w14:paraId="5A4E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8" w:hRule="atLeast"/>
          <w:jc w:val="center"/>
        </w:trPr>
        <w:tc>
          <w:tcPr>
            <w:tcW w:w="777" w:type="dxa"/>
            <w:vMerge w:val="continue"/>
            <w:tcBorders>
              <w:left w:val="single" w:color="auto" w:sz="12" w:space="0"/>
              <w:right w:val="single" w:color="auto" w:sz="4" w:space="0"/>
            </w:tcBorders>
            <w:shd w:val="clear" w:color="auto" w:fill="auto"/>
            <w:vAlign w:val="center"/>
          </w:tcPr>
          <w:p w14:paraId="5B797D67">
            <w:pPr>
              <w:pStyle w:val="14"/>
              <w:ind w:firstLine="1476"/>
              <w:rPr>
                <w:rFonts w:cs="Times New Roman"/>
                <w:b/>
                <w:bCs/>
              </w:rPr>
            </w:pPr>
          </w:p>
        </w:tc>
        <w:tc>
          <w:tcPr>
            <w:tcW w:w="794" w:type="dxa"/>
            <w:vMerge w:val="continue"/>
            <w:tcBorders>
              <w:left w:val="single" w:color="auto" w:sz="4" w:space="0"/>
            </w:tcBorders>
            <w:vAlign w:val="center"/>
          </w:tcPr>
          <w:p w14:paraId="5ECCD1BA">
            <w:pPr>
              <w:pStyle w:val="14"/>
              <w:rPr>
                <w:rFonts w:cs="Times New Roman"/>
              </w:rPr>
            </w:pPr>
          </w:p>
        </w:tc>
        <w:tc>
          <w:tcPr>
            <w:tcW w:w="782" w:type="dxa"/>
            <w:vMerge w:val="continue"/>
            <w:tcBorders>
              <w:right w:val="double" w:color="auto" w:sz="4" w:space="0"/>
            </w:tcBorders>
            <w:shd w:val="clear" w:color="auto" w:fill="auto"/>
            <w:vAlign w:val="center"/>
          </w:tcPr>
          <w:p w14:paraId="7296A954">
            <w:pPr>
              <w:pStyle w:val="14"/>
              <w:rPr>
                <w:rFonts w:cs="Times New Roman"/>
              </w:rPr>
            </w:pPr>
          </w:p>
        </w:tc>
        <w:tc>
          <w:tcPr>
            <w:tcW w:w="4775" w:type="dxa"/>
            <w:vAlign w:val="center"/>
          </w:tcPr>
          <w:p w14:paraId="18EAF6C6">
            <w:pPr>
              <w:pStyle w:val="14"/>
              <w:jc w:val="left"/>
              <w:rPr>
                <w:rFonts w:ascii="宋体" w:hAnsi="宋体"/>
                <w:bCs/>
              </w:rPr>
            </w:pPr>
            <w:r>
              <w:rPr>
                <w:rFonts w:cs="Times New Roman"/>
                <w:bCs/>
              </w:rPr>
              <w:t>2.</w:t>
            </w:r>
            <w:r>
              <w:rPr>
                <w:rFonts w:hint="eastAsia" w:ascii="宋体" w:hAnsi="宋体"/>
                <w:bCs/>
              </w:rPr>
              <w:t xml:space="preserve"> 能够在模拟实际商务环境中运用相关语言技能进行国际商务沟通和交际。</w:t>
            </w:r>
          </w:p>
        </w:tc>
        <w:tc>
          <w:tcPr>
            <w:tcW w:w="1348" w:type="dxa"/>
            <w:tcBorders>
              <w:right w:val="single" w:color="auto" w:sz="12" w:space="0"/>
            </w:tcBorders>
            <w:vAlign w:val="center"/>
          </w:tcPr>
          <w:p w14:paraId="0909DC21">
            <w:pPr>
              <w:pStyle w:val="14"/>
              <w:rPr>
                <w:rFonts w:ascii="宋体" w:hAnsi="宋体"/>
                <w:bCs/>
              </w:rPr>
            </w:pPr>
            <w:r>
              <w:rPr>
                <w:rFonts w:hint="eastAsia" w:ascii="宋体" w:hAnsi="宋体"/>
                <w:bCs/>
              </w:rPr>
              <w:t>5</w:t>
            </w:r>
            <w:r>
              <w:rPr>
                <w:rFonts w:ascii="宋体" w:hAnsi="宋体"/>
                <w:bCs/>
              </w:rPr>
              <w:t>0%</w:t>
            </w:r>
          </w:p>
        </w:tc>
      </w:tr>
      <w:tr w14:paraId="7B6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6" w:hRule="atLeast"/>
          <w:jc w:val="center"/>
        </w:trPr>
        <w:tc>
          <w:tcPr>
            <w:tcW w:w="777" w:type="dxa"/>
            <w:tcBorders>
              <w:left w:val="single" w:color="auto" w:sz="12" w:space="0"/>
              <w:right w:val="single" w:color="auto" w:sz="4" w:space="0"/>
            </w:tcBorders>
            <w:shd w:val="clear" w:color="auto" w:fill="auto"/>
            <w:vAlign w:val="center"/>
          </w:tcPr>
          <w:p w14:paraId="4B7C18E1">
            <w:pPr>
              <w:pStyle w:val="14"/>
              <w:rPr>
                <w:rFonts w:cs="Times New Roman"/>
                <w:b/>
                <w:bCs/>
              </w:rPr>
            </w:pPr>
            <w:r>
              <w:rPr>
                <w:rFonts w:cs="Times New Roman"/>
                <w:b/>
                <w:bCs/>
              </w:rPr>
              <w:t>LO</w:t>
            </w:r>
            <w:r>
              <w:rPr>
                <w:rFonts w:hint="eastAsia" w:cs="Times New Roman"/>
                <w:b/>
                <w:bCs/>
              </w:rPr>
              <w:t>4</w:t>
            </w:r>
          </w:p>
        </w:tc>
        <w:tc>
          <w:tcPr>
            <w:tcW w:w="794" w:type="dxa"/>
            <w:tcBorders>
              <w:left w:val="single" w:color="auto" w:sz="4" w:space="0"/>
            </w:tcBorders>
            <w:vAlign w:val="center"/>
          </w:tcPr>
          <w:p w14:paraId="72D347C7">
            <w:pPr>
              <w:pStyle w:val="14"/>
              <w:rPr>
                <w:rFonts w:cs="Times New Roman"/>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,1)</w:instrText>
            </w:r>
            <w:r>
              <w:rPr>
                <w:rFonts w:cs="Times New Roman"/>
              </w:rPr>
              <w:fldChar w:fldCharType="end"/>
            </w:r>
          </w:p>
        </w:tc>
        <w:tc>
          <w:tcPr>
            <w:tcW w:w="782" w:type="dxa"/>
            <w:tcBorders>
              <w:right w:val="double" w:color="auto" w:sz="4" w:space="0"/>
            </w:tcBorders>
            <w:shd w:val="clear" w:color="auto" w:fill="auto"/>
            <w:vAlign w:val="center"/>
          </w:tcPr>
          <w:p w14:paraId="2E75878B">
            <w:pPr>
              <w:pStyle w:val="14"/>
              <w:rPr>
                <w:rFonts w:ascii="宋体" w:hAnsi="宋体"/>
              </w:rPr>
            </w:pPr>
            <w:r>
              <w:rPr>
                <w:rFonts w:cs="Times New Roman"/>
              </w:rPr>
              <w:t>M</w:t>
            </w:r>
          </w:p>
        </w:tc>
        <w:tc>
          <w:tcPr>
            <w:tcW w:w="4775" w:type="dxa"/>
            <w:vAlign w:val="center"/>
          </w:tcPr>
          <w:p w14:paraId="6DDDA8D9">
            <w:pPr>
              <w:pStyle w:val="14"/>
              <w:jc w:val="left"/>
              <w:rPr>
                <w:rFonts w:ascii="宋体" w:hAnsi="宋体"/>
                <w:bCs/>
              </w:rPr>
            </w:pPr>
            <w:r>
              <w:rPr>
                <w:rFonts w:cs="Times New Roman"/>
                <w:bCs/>
              </w:rPr>
              <w:t>3</w:t>
            </w:r>
            <w:r>
              <w:rPr>
                <w:rFonts w:hint="eastAsia" w:cs="Times New Roman"/>
                <w:bCs/>
              </w:rPr>
              <w:t>.</w:t>
            </w:r>
            <w:r>
              <w:rPr>
                <w:rFonts w:hint="eastAsia" w:ascii="宋体" w:hAnsi="宋体"/>
                <w:bCs/>
              </w:rPr>
              <w:t xml:space="preserve"> 能够运用数字化网络手段收集相关商务领域的各种数据和信息，从中选取有效资料为己所用，主动安排学习计划，完成自主实践任务。</w:t>
            </w:r>
          </w:p>
        </w:tc>
        <w:tc>
          <w:tcPr>
            <w:tcW w:w="1348" w:type="dxa"/>
            <w:tcBorders>
              <w:right w:val="single" w:color="auto" w:sz="12" w:space="0"/>
            </w:tcBorders>
            <w:vAlign w:val="center"/>
          </w:tcPr>
          <w:p w14:paraId="6BA3865D">
            <w:pPr>
              <w:pStyle w:val="14"/>
              <w:rPr>
                <w:rFonts w:ascii="宋体" w:hAnsi="宋体"/>
                <w:bCs/>
              </w:rPr>
            </w:pPr>
            <w:r>
              <w:rPr>
                <w:rFonts w:ascii="宋体" w:hAnsi="宋体"/>
                <w:bCs/>
              </w:rPr>
              <w:t>10</w:t>
            </w:r>
            <w:r>
              <w:rPr>
                <w:rFonts w:hint="eastAsia" w:ascii="宋体" w:hAnsi="宋体"/>
                <w:bCs/>
              </w:rPr>
              <w:t>0</w:t>
            </w:r>
            <w:r>
              <w:rPr>
                <w:rFonts w:ascii="宋体" w:hAnsi="宋体"/>
                <w:bCs/>
              </w:rPr>
              <w:t>%</w:t>
            </w:r>
          </w:p>
        </w:tc>
      </w:tr>
      <w:tr w14:paraId="1C28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0D9BF1E1">
            <w:pPr>
              <w:pStyle w:val="14"/>
              <w:rPr>
                <w:rFonts w:cs="Times New Roman"/>
                <w:b/>
              </w:rPr>
            </w:pPr>
            <w:r>
              <w:rPr>
                <w:rFonts w:cs="Times New Roman"/>
                <w:b/>
              </w:rPr>
              <w:t>LO6</w:t>
            </w:r>
          </w:p>
        </w:tc>
        <w:tc>
          <w:tcPr>
            <w:tcW w:w="794" w:type="dxa"/>
            <w:tcBorders>
              <w:left w:val="single" w:color="auto" w:sz="4" w:space="0"/>
              <w:bottom w:val="single" w:color="auto" w:sz="12" w:space="0"/>
            </w:tcBorders>
            <w:vAlign w:val="center"/>
          </w:tcPr>
          <w:p w14:paraId="329AFCA3">
            <w:pPr>
              <w:pStyle w:val="14"/>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eq \o\ac(</w:instrText>
            </w:r>
            <w:r>
              <w:rPr>
                <w:rFonts w:hint="eastAsia" w:ascii="宋体" w:cs="Times New Roman"/>
                <w:bCs/>
                <w:position w:val="-4"/>
                <w:sz w:val="31"/>
              </w:rPr>
              <w:instrText xml:space="preserve">○</w:instrText>
            </w:r>
            <w:r>
              <w:rPr>
                <w:rFonts w:hint="eastAsia" w:cs="Times New Roman"/>
                <w:bCs/>
              </w:rPr>
              <w:instrText xml:space="preserve">,2)</w:instrText>
            </w:r>
            <w:r>
              <w:rPr>
                <w:rFonts w:cs="Times New Roman"/>
                <w:bCs/>
              </w:rPr>
              <w:fldChar w:fldCharType="end"/>
            </w:r>
          </w:p>
        </w:tc>
        <w:tc>
          <w:tcPr>
            <w:tcW w:w="782" w:type="dxa"/>
            <w:tcBorders>
              <w:bottom w:val="single" w:color="auto" w:sz="12" w:space="0"/>
              <w:right w:val="double" w:color="auto" w:sz="4" w:space="0"/>
            </w:tcBorders>
            <w:shd w:val="clear" w:color="auto" w:fill="auto"/>
            <w:vAlign w:val="center"/>
          </w:tcPr>
          <w:p w14:paraId="7EDAC005">
            <w:pPr>
              <w:pStyle w:val="14"/>
              <w:rPr>
                <w:rFonts w:ascii="宋体" w:hAnsi="宋体"/>
              </w:rPr>
            </w:pPr>
            <w:r>
              <w:rPr>
                <w:rFonts w:cs="Times New Roman"/>
              </w:rPr>
              <w:t>L</w:t>
            </w:r>
          </w:p>
        </w:tc>
        <w:tc>
          <w:tcPr>
            <w:tcW w:w="4775" w:type="dxa"/>
            <w:tcBorders>
              <w:bottom w:val="single" w:color="auto" w:sz="12" w:space="0"/>
            </w:tcBorders>
            <w:vAlign w:val="center"/>
          </w:tcPr>
          <w:p w14:paraId="2905729C">
            <w:pPr>
              <w:pStyle w:val="14"/>
              <w:jc w:val="left"/>
              <w:rPr>
                <w:rFonts w:ascii="宋体" w:hAnsi="宋体"/>
                <w:bCs/>
              </w:rPr>
            </w:pPr>
            <w:r>
              <w:rPr>
                <w:rFonts w:hint="eastAsia" w:ascii="宋体" w:hAnsi="宋体"/>
                <w:bCs/>
              </w:rPr>
              <w:t>4.</w:t>
            </w:r>
            <w:r>
              <w:rPr>
                <w:rFonts w:hint="eastAsia" w:cs="Times New Roman"/>
              </w:rPr>
              <w:t xml:space="preserve"> 能够积极参与社会实践，体验团队合作的精神，建立社会服务意识，提升思辩能力和解决实际问题的能力。</w:t>
            </w:r>
          </w:p>
        </w:tc>
        <w:tc>
          <w:tcPr>
            <w:tcW w:w="1348" w:type="dxa"/>
            <w:tcBorders>
              <w:bottom w:val="single" w:color="auto" w:sz="12" w:space="0"/>
              <w:right w:val="single" w:color="auto" w:sz="12" w:space="0"/>
            </w:tcBorders>
            <w:vAlign w:val="center"/>
          </w:tcPr>
          <w:p w14:paraId="510A88A3">
            <w:pPr>
              <w:pStyle w:val="14"/>
              <w:rPr>
                <w:rFonts w:ascii="宋体" w:hAnsi="宋体"/>
                <w:bCs/>
              </w:rPr>
            </w:pPr>
            <w:r>
              <w:rPr>
                <w:rFonts w:ascii="宋体" w:hAnsi="宋体"/>
                <w:bCs/>
              </w:rPr>
              <w:t>100%</w:t>
            </w:r>
          </w:p>
        </w:tc>
      </w:tr>
    </w:tbl>
    <w:p w14:paraId="610F8F6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CFD3EB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57A4F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A5C5D62">
            <w:pPr>
              <w:pStyle w:val="14"/>
              <w:widowControl w:val="0"/>
              <w:jc w:val="left"/>
              <w:rPr>
                <w:rFonts w:cs="Times New Roman"/>
                <w:bCs/>
              </w:rPr>
            </w:pPr>
            <w:bookmarkStart w:id="0" w:name="OLE_LINK5"/>
            <w:bookmarkStart w:id="1" w:name="OLE_LINK6"/>
            <w:r>
              <w:rPr>
                <w:rFonts w:hint="eastAsia" w:ascii="宋体" w:hAnsi="宋体"/>
                <w:bCs/>
              </w:rPr>
              <w:t xml:space="preserve">第一单元 </w:t>
            </w:r>
            <w:r>
              <w:rPr>
                <w:bCs/>
              </w:rPr>
              <w:t>Companie</w:t>
            </w:r>
            <w:r>
              <w:rPr>
                <w:rFonts w:cs="Times New Roman"/>
                <w:bCs/>
              </w:rPr>
              <w:t xml:space="preserve">s  </w:t>
            </w:r>
          </w:p>
          <w:p w14:paraId="14773D17">
            <w:pPr>
              <w:pStyle w:val="14"/>
              <w:widowControl w:val="0"/>
              <w:ind w:left="1050" w:hanging="1050" w:hangingChars="500"/>
              <w:jc w:val="left"/>
              <w:rPr>
                <w:rFonts w:ascii="宋体" w:hAnsi="宋体"/>
                <w:bCs/>
              </w:rPr>
            </w:pPr>
            <w:r>
              <w:rPr>
                <w:rFonts w:hint="eastAsia" w:ascii="宋体" w:hAnsi="宋体"/>
                <w:bCs/>
              </w:rPr>
              <w:t xml:space="preserve">知识点： </w:t>
            </w:r>
            <w:r>
              <w:rPr>
                <w:rFonts w:ascii="宋体" w:hAnsi="宋体"/>
                <w:bCs/>
              </w:rPr>
              <w:t xml:space="preserve"> </w:t>
            </w:r>
            <w:r>
              <w:rPr>
                <w:rFonts w:hint="eastAsia" w:ascii="宋体" w:hAnsi="宋体"/>
                <w:bCs/>
              </w:rPr>
              <w:t>了解各种商业公司类型及其内部管理结构；知道各种职业与岗位职能的英语表达。</w:t>
            </w:r>
          </w:p>
          <w:p w14:paraId="3D6F4F95">
            <w:pPr>
              <w:pStyle w:val="14"/>
              <w:widowControl w:val="0"/>
              <w:ind w:left="1050" w:hanging="1050" w:hangingChars="500"/>
              <w:jc w:val="left"/>
              <w:rPr>
                <w:rFonts w:ascii="宋体" w:hAnsi="宋体"/>
                <w:bCs/>
              </w:rPr>
            </w:pPr>
            <w:r>
              <w:rPr>
                <w:rFonts w:hint="eastAsia" w:ascii="宋体" w:hAnsi="宋体"/>
                <w:bCs/>
              </w:rPr>
              <w:t>能力要求：知道商业公司类型及其内部管理结构，交流中知道如何用英语</w:t>
            </w:r>
            <w:r>
              <w:rPr>
                <w:rFonts w:hint="eastAsia"/>
              </w:rPr>
              <w:t>表达职业与岗位职能</w:t>
            </w:r>
            <w:r>
              <w:rPr>
                <w:rFonts w:hint="eastAsia" w:ascii="宋体" w:hAnsi="宋体"/>
                <w:bCs/>
              </w:rPr>
              <w:t>。</w:t>
            </w:r>
          </w:p>
          <w:p w14:paraId="724CD1C1">
            <w:pPr>
              <w:widowControl w:val="0"/>
              <w:ind w:left="1470" w:hanging="1470" w:hangingChars="700"/>
              <w:jc w:val="both"/>
              <w:rPr>
                <w:rFonts w:ascii="Calibri" w:hAnsi="Calibri" w:cs="Times New Roman"/>
                <w:color w:val="000000"/>
                <w:kern w:val="2"/>
                <w:sz w:val="20"/>
                <w:szCs w:val="20"/>
              </w:rPr>
            </w:pPr>
            <w:r>
              <w:rPr>
                <w:rFonts w:ascii="Times New Roman" w:hAnsi="Times New Roman" w:cs="Times New Roman"/>
                <w:bCs/>
                <w:sz w:val="21"/>
                <w:szCs w:val="21"/>
              </w:rPr>
              <w:t>教学重点：</w:t>
            </w:r>
            <w:r>
              <w:rPr>
                <w:rFonts w:hint="eastAsia"/>
                <w:bCs/>
              </w:rPr>
              <w:t>1、</w:t>
            </w:r>
            <w:r>
              <w:rPr>
                <w:rFonts w:ascii="Times New Roman" w:hAnsi="Times New Roman" w:cs="Times New Roman"/>
                <w:color w:val="000000"/>
                <w:sz w:val="21"/>
                <w:szCs w:val="21"/>
              </w:rPr>
              <w:t xml:space="preserve">Company Types, </w:t>
            </w:r>
            <w:r>
              <w:rPr>
                <w:rFonts w:hint="eastAsia" w:ascii="Times New Roman" w:hAnsi="Times New Roman" w:cs="Times New Roman"/>
                <w:color w:val="000000"/>
                <w:sz w:val="21"/>
                <w:szCs w:val="21"/>
              </w:rPr>
              <w:t>B</w:t>
            </w:r>
            <w:r>
              <w:rPr>
                <w:rFonts w:ascii="Times New Roman" w:hAnsi="Times New Roman" w:cs="Times New Roman"/>
                <w:color w:val="000000"/>
                <w:sz w:val="21"/>
                <w:szCs w:val="21"/>
              </w:rPr>
              <w:t>usiness Management</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 xml:space="preserve"> </w:t>
            </w:r>
            <w:r>
              <w:rPr>
                <w:rFonts w:ascii="Times New Roman" w:hAnsi="Times New Roman" w:cs="Times New Roman"/>
                <w:color w:val="000000"/>
                <w:kern w:val="2"/>
                <w:sz w:val="21"/>
                <w:szCs w:val="21"/>
              </w:rPr>
              <w:t>The ability to exchange information</w:t>
            </w:r>
            <w:r>
              <w:rPr>
                <w:rFonts w:ascii="Calibri" w:hAnsi="Calibri" w:cs="Times New Roman"/>
                <w:color w:val="000000"/>
                <w:kern w:val="2"/>
                <w:sz w:val="20"/>
                <w:szCs w:val="20"/>
              </w:rPr>
              <w:t xml:space="preserve"> </w:t>
            </w:r>
            <w:r>
              <w:rPr>
                <w:rFonts w:ascii="Times New Roman" w:hAnsi="Times New Roman" w:cs="Times New Roman"/>
                <w:color w:val="000000"/>
                <w:kern w:val="2"/>
                <w:sz w:val="21"/>
                <w:szCs w:val="21"/>
              </w:rPr>
              <w:t>about your job</w:t>
            </w:r>
            <w:r>
              <w:rPr>
                <w:rFonts w:hint="eastAsia" w:ascii="Times New Roman" w:hAnsi="Times New Roman" w:cs="Times New Roman"/>
                <w:color w:val="000000"/>
                <w:kern w:val="2"/>
                <w:sz w:val="21"/>
                <w:szCs w:val="21"/>
              </w:rPr>
              <w:t>；</w:t>
            </w:r>
          </w:p>
          <w:p w14:paraId="77CDB4F2">
            <w:pPr>
              <w:pStyle w:val="14"/>
              <w:widowControl w:val="0"/>
              <w:ind w:left="1050" w:hanging="1050" w:hangingChars="500"/>
              <w:jc w:val="left"/>
              <w:rPr>
                <w:rFonts w:ascii="宋体" w:hAnsi="宋体"/>
                <w:bCs/>
              </w:rPr>
            </w:pPr>
            <w:r>
              <w:rPr>
                <w:rFonts w:ascii="宋体" w:hAnsi="宋体"/>
                <w:bCs/>
              </w:rPr>
              <w:t xml:space="preserve">          2</w:t>
            </w:r>
            <w:r>
              <w:rPr>
                <w:rFonts w:hint="eastAsia" w:ascii="宋体" w:hAnsi="宋体"/>
                <w:bCs/>
              </w:rPr>
              <w:t>、通过“播报中国”课堂活动，了解中国最新经济发展动向；</w:t>
            </w:r>
          </w:p>
          <w:p w14:paraId="62D51E76">
            <w:pPr>
              <w:pStyle w:val="14"/>
              <w:widowControl w:val="0"/>
              <w:ind w:left="1050" w:hanging="1050" w:hangingChars="500"/>
              <w:jc w:val="left"/>
              <w:rPr>
                <w:rFonts w:ascii="宋体" w:hAnsi="宋体"/>
                <w:bCs/>
              </w:rPr>
            </w:pPr>
            <w:r>
              <w:rPr>
                <w:rFonts w:hint="eastAsia" w:ascii="宋体" w:hAnsi="宋体"/>
                <w:bCs/>
              </w:rPr>
              <w:t xml:space="preserve"> </w:t>
            </w:r>
            <w:r>
              <w:rPr>
                <w:rFonts w:ascii="宋体" w:hAnsi="宋体"/>
                <w:bCs/>
              </w:rPr>
              <w:t xml:space="preserve">         3</w:t>
            </w:r>
            <w:r>
              <w:rPr>
                <w:rFonts w:hint="eastAsia" w:ascii="宋体" w:hAnsi="宋体"/>
                <w:bCs/>
              </w:rPr>
              <w:t>、</w:t>
            </w:r>
            <w:r>
              <w:rPr>
                <w:rFonts w:hint="eastAsia"/>
                <w:sz w:val="20"/>
                <w:szCs w:val="20"/>
              </w:rPr>
              <w:t>鼓励学生在学习中相互协作，合作共赢，常怀感恩之心</w:t>
            </w:r>
            <w:r>
              <w:rPr>
                <w:rFonts w:hint="eastAsia" w:ascii="宋体" w:hAnsi="宋体"/>
                <w:bCs/>
              </w:rPr>
              <w:t>。</w:t>
            </w:r>
          </w:p>
          <w:p w14:paraId="0817D606">
            <w:pPr>
              <w:pStyle w:val="14"/>
              <w:widowControl w:val="0"/>
              <w:ind w:left="1050" w:hanging="1050" w:hangingChars="500"/>
              <w:jc w:val="left"/>
              <w:rPr>
                <w:rFonts w:ascii="仿宋" w:hAnsi="仿宋" w:eastAsia="仿宋" w:cs="仿宋"/>
              </w:rPr>
            </w:pPr>
            <w:r>
              <w:rPr>
                <w:rFonts w:hint="eastAsia" w:ascii="宋体" w:hAnsi="宋体"/>
                <w:bCs/>
              </w:rPr>
              <w:t>教学难点：</w:t>
            </w:r>
            <w:r>
              <w:rPr>
                <w:rFonts w:hint="eastAsia"/>
              </w:rPr>
              <w:t>公司类型中有限责任公司</w:t>
            </w:r>
            <w:r>
              <w:t>Inc</w:t>
            </w:r>
            <w:r>
              <w:rPr>
                <w:rFonts w:hint="eastAsia"/>
              </w:rPr>
              <w:t>和独营公司的区别；表达Job</w:t>
            </w:r>
            <w:r>
              <w:t xml:space="preserve"> Preference</w:t>
            </w:r>
            <w:r>
              <w:rPr>
                <w:rFonts w:hint="eastAsia"/>
              </w:rPr>
              <w:t>的常用句型</w:t>
            </w:r>
            <w:r>
              <w:rPr>
                <w:rFonts w:hint="eastAsia" w:ascii="宋体" w:hAnsi="宋体"/>
                <w:bCs/>
              </w:rPr>
              <w:t>。</w:t>
            </w:r>
          </w:p>
        </w:tc>
      </w:tr>
      <w:tr w14:paraId="15D807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056A728">
            <w:pPr>
              <w:pStyle w:val="14"/>
              <w:widowControl w:val="0"/>
              <w:jc w:val="left"/>
              <w:rPr>
                <w:rFonts w:cs="Times New Roman"/>
              </w:rPr>
            </w:pPr>
            <w:r>
              <w:rPr>
                <w:rFonts w:hint="eastAsia" w:ascii="宋体" w:hAnsi="宋体"/>
              </w:rPr>
              <w:t>第二单元</w:t>
            </w:r>
            <w:r>
              <w:rPr>
                <w:rFonts w:cs="Times New Roman"/>
              </w:rPr>
              <w:t xml:space="preserve">  Leadership</w:t>
            </w:r>
          </w:p>
          <w:p w14:paraId="67576326">
            <w:pPr>
              <w:pStyle w:val="14"/>
              <w:widowControl w:val="0"/>
              <w:ind w:left="1050" w:hanging="1050" w:hangingChars="500"/>
              <w:jc w:val="left"/>
              <w:rPr>
                <w:rFonts w:ascii="宋体" w:hAnsi="宋体"/>
              </w:rPr>
            </w:pPr>
            <w:r>
              <w:rPr>
                <w:rFonts w:hint="eastAsia" w:ascii="宋体" w:hAnsi="宋体"/>
              </w:rPr>
              <w:t xml:space="preserve">知识点： </w:t>
            </w:r>
            <w:r>
              <w:rPr>
                <w:rFonts w:ascii="宋体" w:hAnsi="宋体"/>
              </w:rPr>
              <w:t xml:space="preserve"> </w:t>
            </w:r>
            <w:r>
              <w:rPr>
                <w:rFonts w:hint="eastAsia"/>
              </w:rPr>
              <w:t>了解企业中成功的管理领导者应当具备哪些素质；学习企业人员管理基础知识</w:t>
            </w:r>
            <w:r>
              <w:rPr>
                <w:rFonts w:hint="eastAsia" w:ascii="宋体" w:hAnsi="宋体"/>
              </w:rPr>
              <w:t>。</w:t>
            </w:r>
          </w:p>
          <w:p w14:paraId="1E839CCC">
            <w:pPr>
              <w:pStyle w:val="14"/>
              <w:widowControl w:val="0"/>
              <w:jc w:val="left"/>
              <w:rPr>
                <w:rFonts w:ascii="宋体" w:hAnsi="宋体"/>
              </w:rPr>
            </w:pPr>
            <w:r>
              <w:rPr>
                <w:rFonts w:hint="eastAsia" w:ascii="宋体" w:hAnsi="宋体"/>
              </w:rPr>
              <w:t>能力要求：知道企业中有各种领导管理风格</w:t>
            </w:r>
            <w:r>
              <w:rPr>
                <w:rFonts w:hint="eastAsia"/>
              </w:rPr>
              <w:t>；能够用思辨的眼光看待不同的管理方式</w:t>
            </w:r>
            <w:r>
              <w:rPr>
                <w:rFonts w:hint="eastAsia" w:ascii="宋体" w:hAnsi="宋体"/>
              </w:rPr>
              <w:t>。</w:t>
            </w:r>
          </w:p>
          <w:p w14:paraId="208E5B7E">
            <w:pPr>
              <w:pStyle w:val="14"/>
              <w:widowControl w:val="0"/>
              <w:jc w:val="left"/>
              <w:rPr>
                <w:rFonts w:cs="Times New Roman"/>
              </w:rPr>
            </w:pPr>
            <w:r>
              <w:rPr>
                <w:rFonts w:hint="eastAsia" w:ascii="宋体" w:hAnsi="宋体"/>
              </w:rPr>
              <w:t>教学重点：1、</w:t>
            </w:r>
            <w:r>
              <w:rPr>
                <w:rFonts w:cs="Times New Roman"/>
              </w:rPr>
              <w:t>Qualities of Successful Leaders</w:t>
            </w:r>
            <w:r>
              <w:rPr>
                <w:rFonts w:hint="eastAsia" w:cs="Times New Roman"/>
              </w:rPr>
              <w:t>.</w:t>
            </w:r>
          </w:p>
          <w:p w14:paraId="3A22F87B">
            <w:pPr>
              <w:pStyle w:val="14"/>
              <w:widowControl w:val="0"/>
              <w:ind w:firstLine="1260" w:firstLineChars="600"/>
              <w:jc w:val="left"/>
              <w:rPr>
                <w:rFonts w:ascii="宋体" w:hAnsi="宋体"/>
              </w:rPr>
            </w:pPr>
            <w:r>
              <w:t xml:space="preserve"> </w:t>
            </w:r>
            <w:r>
              <w:rPr>
                <w:rFonts w:cs="Times New Roman"/>
              </w:rPr>
              <w:t>Learn to manage the relationships with people in a working situation</w:t>
            </w:r>
            <w:r>
              <w:rPr>
                <w:rFonts w:hint="eastAsia" w:ascii="宋体" w:hAnsi="宋体"/>
              </w:rPr>
              <w:t>；</w:t>
            </w:r>
          </w:p>
          <w:p w14:paraId="6E4F520A">
            <w:pPr>
              <w:pStyle w:val="14"/>
              <w:widowControl w:val="0"/>
              <w:jc w:val="left"/>
              <w:rPr>
                <w:rFonts w:ascii="宋体" w:hAnsi="宋体"/>
                <w:bCs/>
              </w:rPr>
            </w:pPr>
            <w:r>
              <w:rPr>
                <w:rFonts w:hint="eastAsia" w:ascii="宋体" w:hAnsi="宋体"/>
              </w:rPr>
              <w:t xml:space="preserve"> </w:t>
            </w:r>
            <w:r>
              <w:rPr>
                <w:rFonts w:ascii="宋体" w:hAnsi="宋体"/>
              </w:rPr>
              <w:t xml:space="preserve">         2</w:t>
            </w:r>
            <w:r>
              <w:rPr>
                <w:rFonts w:hint="eastAsia" w:ascii="宋体" w:hAnsi="宋体"/>
              </w:rPr>
              <w:t>、</w:t>
            </w:r>
            <w:r>
              <w:rPr>
                <w:rFonts w:hint="eastAsia" w:ascii="宋体" w:hAnsi="宋体"/>
                <w:bCs/>
              </w:rPr>
              <w:t>通过“播报中国”课堂活动，了解中国最新经济发展动向；</w:t>
            </w:r>
          </w:p>
          <w:p w14:paraId="345FCCB1">
            <w:pPr>
              <w:pStyle w:val="14"/>
              <w:widowControl w:val="0"/>
              <w:ind w:left="1470" w:hanging="1470" w:hangingChars="700"/>
              <w:jc w:val="left"/>
              <w:rPr>
                <w:rFonts w:ascii="宋体" w:hAnsi="宋体"/>
              </w:rPr>
            </w:pPr>
            <w:r>
              <w:rPr>
                <w:rFonts w:hint="eastAsia" w:ascii="宋体" w:hAnsi="宋体"/>
                <w:bCs/>
              </w:rPr>
              <w:t xml:space="preserve"> </w:t>
            </w:r>
            <w:r>
              <w:rPr>
                <w:rFonts w:ascii="宋体" w:hAnsi="宋体"/>
                <w:bCs/>
              </w:rPr>
              <w:t xml:space="preserve">         3</w:t>
            </w:r>
            <w:r>
              <w:rPr>
                <w:rFonts w:hint="eastAsia" w:ascii="宋体" w:hAnsi="宋体"/>
                <w:bCs/>
              </w:rPr>
              <w:t>、鼓励学生在各种活动中能主动担任角色，培养有担当的主人翁精神，学做团队中的积极成员。</w:t>
            </w:r>
          </w:p>
          <w:p w14:paraId="6AA34D44">
            <w:pPr>
              <w:pStyle w:val="14"/>
              <w:widowControl w:val="0"/>
              <w:jc w:val="left"/>
              <w:rPr>
                <w:rFonts w:ascii="仿宋" w:hAnsi="仿宋" w:eastAsia="仿宋" w:cs="仿宋"/>
              </w:rPr>
            </w:pPr>
            <w:r>
              <w:rPr>
                <w:rFonts w:hint="eastAsia" w:ascii="宋体" w:hAnsi="宋体"/>
              </w:rPr>
              <w:t>教学难点：</w:t>
            </w:r>
            <w:r>
              <w:rPr>
                <w:rFonts w:hint="eastAsia"/>
              </w:rPr>
              <w:t>领导方式与艺术；直接与间接表达工作要求</w:t>
            </w:r>
            <w:r>
              <w:rPr>
                <w:rFonts w:hint="eastAsia" w:ascii="宋体" w:hAnsi="宋体"/>
              </w:rPr>
              <w:t>。</w:t>
            </w:r>
            <w:r>
              <w:rPr>
                <w:rFonts w:ascii="仿宋" w:hAnsi="仿宋" w:eastAsia="仿宋" w:cs="仿宋"/>
              </w:rPr>
              <w:t xml:space="preserve"> </w:t>
            </w:r>
          </w:p>
        </w:tc>
      </w:tr>
      <w:tr w14:paraId="6263D9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BA7F630">
            <w:pPr>
              <w:pStyle w:val="14"/>
              <w:widowControl w:val="0"/>
              <w:jc w:val="left"/>
              <w:rPr>
                <w:rFonts w:cs="Times New Roman"/>
              </w:rPr>
            </w:pPr>
            <w:r>
              <w:rPr>
                <w:rFonts w:hint="eastAsia" w:ascii="宋体" w:hAnsi="宋体"/>
              </w:rPr>
              <w:t xml:space="preserve">第三单元 </w:t>
            </w:r>
            <w:r>
              <w:t>Strategy</w:t>
            </w:r>
          </w:p>
          <w:p w14:paraId="159C4A1C">
            <w:pPr>
              <w:pStyle w:val="14"/>
              <w:widowControl w:val="0"/>
              <w:ind w:left="1050" w:hanging="1050" w:hangingChars="500"/>
              <w:jc w:val="left"/>
              <w:rPr>
                <w:rFonts w:asciiTheme="minorEastAsia" w:hAnsiTheme="minorEastAsia" w:eastAsiaTheme="minorEastAsia"/>
              </w:rPr>
            </w:pPr>
            <w:r>
              <w:rPr>
                <w:rFonts w:hint="eastAsia" w:asciiTheme="minorEastAsia" w:hAnsiTheme="minorEastAsia" w:eastAsiaTheme="minorEastAsia"/>
              </w:rPr>
              <w:t xml:space="preserve">知识点： </w:t>
            </w:r>
            <w:r>
              <w:rPr>
                <w:rFonts w:asciiTheme="minorEastAsia" w:hAnsiTheme="minorEastAsia" w:eastAsiaTheme="minorEastAsia"/>
              </w:rPr>
              <w:t xml:space="preserve"> </w:t>
            </w:r>
            <w:r>
              <w:rPr>
                <w:rFonts w:hint="eastAsia" w:asciiTheme="minorEastAsia" w:hAnsiTheme="minorEastAsia" w:eastAsiaTheme="minorEastAsia"/>
              </w:rPr>
              <w:t>了解制定商业计划的策略步骤及要素。</w:t>
            </w:r>
          </w:p>
          <w:p w14:paraId="27D3D044">
            <w:pPr>
              <w:pStyle w:val="14"/>
              <w:widowControl w:val="0"/>
              <w:ind w:left="1050" w:hanging="1050" w:hangingChars="500"/>
              <w:jc w:val="left"/>
              <w:rPr>
                <w:rFonts w:ascii="宋体" w:hAnsi="宋体"/>
              </w:rPr>
            </w:pPr>
            <w:r>
              <w:rPr>
                <w:rFonts w:hint="eastAsia" w:ascii="宋体" w:hAnsi="宋体"/>
              </w:rPr>
              <w:t>能力要求：知道商业经营策略的重要性，它的5大要素和制定步骤；</w:t>
            </w:r>
            <w:r>
              <w:rPr>
                <w:rFonts w:hint="eastAsia"/>
              </w:rPr>
              <w:t>能够在商务工作环境下做简短发言。</w:t>
            </w:r>
          </w:p>
          <w:p w14:paraId="03E98E1C">
            <w:pPr>
              <w:pStyle w:val="14"/>
              <w:widowControl w:val="0"/>
              <w:ind w:left="1365" w:hanging="1365" w:hangingChars="650"/>
              <w:jc w:val="left"/>
              <w:rPr>
                <w:rFonts w:ascii="宋体" w:hAnsi="宋体"/>
              </w:rPr>
            </w:pPr>
            <w:r>
              <w:rPr>
                <w:rFonts w:hint="eastAsia" w:ascii="宋体" w:hAnsi="宋体"/>
              </w:rPr>
              <w:t>教学重点：1、</w:t>
            </w:r>
            <w:r>
              <w:rPr>
                <w:rFonts w:hint="eastAsia"/>
              </w:rPr>
              <w:t>S</w:t>
            </w:r>
            <w:r>
              <w:t>trategic planning process</w:t>
            </w:r>
            <w:r>
              <w:rPr>
                <w:rFonts w:hint="eastAsia"/>
              </w:rPr>
              <w:t>，</w:t>
            </w:r>
            <w:r>
              <w:t>Essentials of an effective strategy</w:t>
            </w:r>
            <w:r>
              <w:rPr>
                <w:rFonts w:hint="eastAsia" w:ascii="宋体" w:hAnsi="宋体"/>
              </w:rPr>
              <w:t>；</w:t>
            </w:r>
          </w:p>
          <w:p w14:paraId="4EF49718">
            <w:pPr>
              <w:pStyle w:val="14"/>
              <w:widowControl w:val="0"/>
              <w:jc w:val="left"/>
              <w:rPr>
                <w:rFonts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5B826F93">
            <w:pPr>
              <w:pStyle w:val="14"/>
              <w:widowControl w:val="0"/>
              <w:jc w:val="left"/>
              <w:rPr>
                <w:rFonts w:ascii="宋体" w:hAnsi="宋体"/>
              </w:rPr>
            </w:pPr>
            <w:r>
              <w:rPr>
                <w:rFonts w:hint="eastAsia" w:ascii="宋体" w:hAnsi="宋体"/>
              </w:rPr>
              <w:t xml:space="preserve"> </w:t>
            </w:r>
            <w:r>
              <w:rPr>
                <w:rFonts w:ascii="宋体" w:hAnsi="宋体"/>
              </w:rPr>
              <w:t xml:space="preserve">         3</w:t>
            </w:r>
            <w:r>
              <w:rPr>
                <w:rFonts w:hint="eastAsia" w:ascii="宋体" w:hAnsi="宋体"/>
              </w:rPr>
              <w:t>、</w:t>
            </w:r>
            <w:r>
              <w:rPr>
                <w:rFonts w:hint="eastAsia"/>
              </w:rPr>
              <w:t>善于从多个维度思考问题，利用自己的知识与实践来提出新设想</w:t>
            </w:r>
            <w:r>
              <w:rPr>
                <w:rFonts w:hint="eastAsia" w:ascii="宋体" w:hAnsi="宋体"/>
              </w:rPr>
              <w:t>。</w:t>
            </w:r>
          </w:p>
          <w:p w14:paraId="31FD6DA3">
            <w:pPr>
              <w:widowControl w:val="0"/>
              <w:jc w:val="both"/>
              <w:rPr>
                <w:rFonts w:ascii="Times New Roman" w:hAnsi="Times New Roman" w:cs="Times New Roman"/>
                <w:color w:val="000000"/>
                <w:sz w:val="21"/>
                <w:szCs w:val="21"/>
              </w:rPr>
            </w:pPr>
            <w:r>
              <w:rPr>
                <w:rFonts w:ascii="Times New Roman" w:hAnsi="Times New Roman" w:cs="Times New Roman"/>
                <w:sz w:val="21"/>
                <w:szCs w:val="21"/>
              </w:rPr>
              <w:t>教学难点：</w:t>
            </w:r>
            <w:r>
              <w:rPr>
                <w:rFonts w:ascii="Times New Roman" w:hAnsi="Times New Roman" w:cs="Times New Roman"/>
                <w:color w:val="000000"/>
                <w:sz w:val="21"/>
                <w:szCs w:val="21"/>
              </w:rPr>
              <w:t>商务策略策划要素</w:t>
            </w:r>
            <w:r>
              <w:rPr>
                <w:rFonts w:ascii="Times New Roman" w:hAnsi="Times New Roman" w:cs="Times New Roman"/>
                <w:sz w:val="21"/>
                <w:szCs w:val="21"/>
              </w:rPr>
              <w:t>；</w:t>
            </w:r>
            <w:r>
              <w:rPr>
                <w:rFonts w:hint="eastAsia" w:ascii="Times New Roman" w:hAnsi="Times New Roman" w:cs="Times New Roman"/>
                <w:sz w:val="21"/>
                <w:szCs w:val="21"/>
              </w:rPr>
              <w:t>会</w:t>
            </w:r>
            <w:r>
              <w:rPr>
                <w:rFonts w:ascii="Times New Roman" w:hAnsi="Times New Roman" w:cs="Times New Roman"/>
                <w:color w:val="000000"/>
                <w:sz w:val="21"/>
                <w:szCs w:val="21"/>
              </w:rPr>
              <w:t>做简短工作报告</w:t>
            </w:r>
            <w:r>
              <w:rPr>
                <w:rFonts w:hint="eastAsia" w:ascii="Times New Roman" w:hAnsi="Times New Roman" w:cs="Times New Roman"/>
                <w:color w:val="000000"/>
                <w:sz w:val="21"/>
                <w:szCs w:val="21"/>
              </w:rPr>
              <w:t>。</w:t>
            </w:r>
          </w:p>
        </w:tc>
      </w:tr>
      <w:tr w14:paraId="41731B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B8ED6A8">
            <w:pPr>
              <w:pStyle w:val="14"/>
              <w:widowControl w:val="0"/>
              <w:jc w:val="left"/>
              <w:rPr>
                <w:rFonts w:ascii="宋体" w:hAnsi="宋体"/>
              </w:rPr>
            </w:pPr>
            <w:r>
              <w:rPr>
                <w:rFonts w:hint="eastAsia" w:ascii="宋体" w:hAnsi="宋体"/>
              </w:rPr>
              <w:t xml:space="preserve">第四单元 </w:t>
            </w:r>
            <w:r>
              <w:t>Pay</w:t>
            </w:r>
          </w:p>
          <w:p w14:paraId="21CDBFED">
            <w:pPr>
              <w:pStyle w:val="14"/>
              <w:widowControl w:val="0"/>
              <w:ind w:left="1050" w:hanging="1050" w:hangingChars="500"/>
              <w:jc w:val="left"/>
              <w:rPr>
                <w:rFonts w:ascii="宋体" w:hAnsi="宋体"/>
              </w:rPr>
            </w:pPr>
            <w:r>
              <w:rPr>
                <w:rFonts w:hint="eastAsia" w:ascii="宋体" w:hAnsi="宋体"/>
              </w:rPr>
              <w:t xml:space="preserve">知识点： </w:t>
            </w:r>
            <w:r>
              <w:rPr>
                <w:rFonts w:ascii="宋体" w:hAnsi="宋体"/>
              </w:rPr>
              <w:t xml:space="preserve"> </w:t>
            </w:r>
            <w:r>
              <w:rPr>
                <w:rFonts w:hint="eastAsia" w:ascii="宋体" w:hAnsi="宋体"/>
              </w:rPr>
              <w:t>了解</w:t>
            </w:r>
            <w:r>
              <w:rPr>
                <w:rFonts w:hint="eastAsia"/>
              </w:rPr>
              <w:t>企业劳资关系，员工薪资支付方式及有关法律义务</w:t>
            </w:r>
            <w:r>
              <w:rPr>
                <w:rFonts w:hint="eastAsia" w:ascii="宋体" w:hAnsi="宋体"/>
              </w:rPr>
              <w:t>的知识概念及其对应的英语术语和表达。</w:t>
            </w:r>
          </w:p>
          <w:p w14:paraId="732F4186">
            <w:pPr>
              <w:pStyle w:val="14"/>
              <w:widowControl w:val="0"/>
              <w:jc w:val="left"/>
            </w:pPr>
            <w:r>
              <w:rPr>
                <w:rFonts w:hint="eastAsia" w:ascii="宋体" w:hAnsi="宋体"/>
              </w:rPr>
              <w:t>能力要求：了解</w:t>
            </w:r>
            <w:r>
              <w:rPr>
                <w:rFonts w:hint="eastAsia"/>
              </w:rPr>
              <w:t>企业劳资关系相关的法规</w:t>
            </w:r>
            <w:r>
              <w:rPr>
                <w:rFonts w:hint="eastAsia" w:ascii="宋体" w:hAnsi="宋体"/>
              </w:rPr>
              <w:t>；</w:t>
            </w:r>
            <w:r>
              <w:rPr>
                <w:rFonts w:hint="eastAsia"/>
              </w:rPr>
              <w:t>知道如何做业绩评价。</w:t>
            </w:r>
          </w:p>
          <w:p w14:paraId="19F6762F">
            <w:pPr>
              <w:widowControl/>
              <w:ind w:left="1470" w:hanging="1470" w:hangingChars="700"/>
              <w:jc w:val="left"/>
              <w:rPr>
                <w:rFonts w:ascii="Times New Roman" w:hAnsi="Times New Roman" w:cs="Times New Roman"/>
                <w:color w:val="000000"/>
                <w:sz w:val="21"/>
                <w:szCs w:val="21"/>
              </w:rPr>
            </w:pPr>
            <w:r>
              <w:rPr>
                <w:rFonts w:hint="eastAsia"/>
                <w:sz w:val="21"/>
                <w:szCs w:val="21"/>
              </w:rPr>
              <w:t>教学重点：</w:t>
            </w:r>
            <w:r>
              <w:rPr>
                <w:rFonts w:hint="eastAsia"/>
              </w:rPr>
              <w:t>1、</w:t>
            </w:r>
            <w:r>
              <w:rPr>
                <w:rFonts w:hint="eastAsia" w:ascii="Times New Roman" w:hAnsi="Times New Roman" w:cs="Times New Roman"/>
                <w:color w:val="000000"/>
                <w:sz w:val="21"/>
                <w:szCs w:val="21"/>
              </w:rPr>
              <w:t>P</w:t>
            </w:r>
            <w:r>
              <w:rPr>
                <w:rFonts w:ascii="Times New Roman" w:hAnsi="Times New Roman" w:cs="Times New Roman"/>
                <w:color w:val="000000"/>
                <w:sz w:val="21"/>
                <w:szCs w:val="21"/>
              </w:rPr>
              <w:t>ay package for a work</w:t>
            </w:r>
            <w:r>
              <w:rPr>
                <w:rFonts w:hint="eastAsia"/>
              </w:rPr>
              <w:t>；</w:t>
            </w:r>
            <w:r>
              <w:rPr>
                <w:rFonts w:ascii="Times New Roman" w:hAnsi="Times New Roman" w:cs="Times New Roman"/>
                <w:color w:val="000000"/>
                <w:sz w:val="21"/>
                <w:szCs w:val="21"/>
              </w:rPr>
              <w:t>Middle class vs Working class</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The ability to evaluate performance</w:t>
            </w:r>
            <w:r>
              <w:rPr>
                <w:rFonts w:hint="eastAsia" w:ascii="Times New Roman" w:hAnsi="Times New Roman" w:cs="Times New Roman"/>
                <w:color w:val="000000"/>
                <w:sz w:val="21"/>
                <w:szCs w:val="21"/>
              </w:rPr>
              <w:t>；</w:t>
            </w:r>
          </w:p>
          <w:p w14:paraId="661298A6">
            <w:pPr>
              <w:pStyle w:val="14"/>
              <w:widowControl w:val="0"/>
              <w:jc w:val="left"/>
              <w:rPr>
                <w:rFonts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49B55876">
            <w:pPr>
              <w:pStyle w:val="14"/>
              <w:widowControl w:val="0"/>
              <w:ind w:left="1260" w:hanging="1260" w:hangingChars="600"/>
              <w:jc w:val="left"/>
              <w:rPr>
                <w:rFonts w:ascii="宋体" w:hAnsi="宋体"/>
              </w:rPr>
            </w:pPr>
            <w:r>
              <w:rPr>
                <w:rFonts w:hint="eastAsia" w:ascii="宋体" w:hAnsi="宋体"/>
              </w:rPr>
              <w:t xml:space="preserve"> </w:t>
            </w:r>
            <w:r>
              <w:rPr>
                <w:rFonts w:ascii="宋体" w:hAnsi="宋体"/>
              </w:rPr>
              <w:t xml:space="preserve">         3</w:t>
            </w:r>
            <w:r>
              <w:rPr>
                <w:rFonts w:hint="eastAsia" w:ascii="宋体" w:hAnsi="宋体"/>
              </w:rPr>
              <w:t>、</w:t>
            </w:r>
            <w:r>
              <w:rPr>
                <w:rFonts w:hint="eastAsia"/>
              </w:rPr>
              <w:t>鼓励学生在自身的职业选择和发展中，要有大局观、长远的眼光和目标，帮助学生形成正确的择业观</w:t>
            </w:r>
            <w:r>
              <w:rPr>
                <w:rFonts w:hint="eastAsia" w:ascii="宋体" w:hAnsi="宋体"/>
              </w:rPr>
              <w:t>。</w:t>
            </w:r>
          </w:p>
          <w:p w14:paraId="1F209EA6">
            <w:pPr>
              <w:pStyle w:val="14"/>
              <w:widowControl w:val="0"/>
              <w:jc w:val="left"/>
              <w:rPr>
                <w:rFonts w:ascii="宋体" w:hAnsi="宋体"/>
              </w:rPr>
            </w:pPr>
            <w:r>
              <w:rPr>
                <w:rFonts w:hint="eastAsia" w:ascii="宋体" w:hAnsi="宋体"/>
              </w:rPr>
              <w:t>教学难点：</w:t>
            </w:r>
            <w:r>
              <w:rPr>
                <w:rFonts w:hint="eastAsia"/>
              </w:rPr>
              <w:t>薪资报酬的英语名称</w:t>
            </w:r>
            <w:r>
              <w:rPr>
                <w:rFonts w:hint="eastAsia" w:ascii="宋体" w:hAnsi="宋体"/>
              </w:rPr>
              <w:t>。</w:t>
            </w:r>
          </w:p>
        </w:tc>
      </w:tr>
      <w:tr w14:paraId="776CBB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77EA2584">
            <w:pPr>
              <w:pStyle w:val="14"/>
              <w:widowControl w:val="0"/>
              <w:jc w:val="left"/>
              <w:rPr>
                <w:rFonts w:cs="Times New Roman"/>
              </w:rPr>
            </w:pPr>
            <w:r>
              <w:rPr>
                <w:rFonts w:hint="eastAsia" w:ascii="宋体" w:hAnsi="宋体"/>
              </w:rPr>
              <w:t xml:space="preserve">第五单元 </w:t>
            </w:r>
            <w:r>
              <w:t>Development</w:t>
            </w:r>
          </w:p>
          <w:p w14:paraId="6CAE3807">
            <w:pPr>
              <w:pStyle w:val="14"/>
              <w:widowControl w:val="0"/>
              <w:ind w:left="1050" w:hanging="1050" w:hangingChars="500"/>
              <w:jc w:val="left"/>
              <w:rPr>
                <w:rFonts w:ascii="宋体" w:hAnsi="宋体"/>
              </w:rPr>
            </w:pPr>
            <w:r>
              <w:rPr>
                <w:rFonts w:hint="eastAsia" w:ascii="宋体" w:hAnsi="宋体"/>
              </w:rPr>
              <w:t>知识点： 了解</w:t>
            </w:r>
            <w:r>
              <w:rPr>
                <w:rFonts w:hint="eastAsia"/>
              </w:rPr>
              <w:t>气候变化对社会和经济带来的影响及人类的应对措施。</w:t>
            </w:r>
          </w:p>
          <w:p w14:paraId="72A86724">
            <w:pPr>
              <w:pStyle w:val="14"/>
              <w:widowControl w:val="0"/>
              <w:ind w:left="1050" w:hanging="1050" w:hangingChars="500"/>
              <w:jc w:val="left"/>
              <w:rPr>
                <w:rFonts w:ascii="宋体" w:hAnsi="宋体"/>
              </w:rPr>
            </w:pPr>
            <w:r>
              <w:rPr>
                <w:rFonts w:hint="eastAsia" w:ascii="宋体" w:hAnsi="宋体"/>
              </w:rPr>
              <w:t>能力要求：</w:t>
            </w:r>
            <w:r>
              <w:rPr>
                <w:rFonts w:hint="eastAsia"/>
              </w:rPr>
              <w:t>理解经济社会进行绿色环保和谐平衡发展的意识理念；掌握相关主题对应的英文术语及语句表达。</w:t>
            </w:r>
          </w:p>
          <w:p w14:paraId="311FD036">
            <w:pPr>
              <w:widowControl w:val="0"/>
              <w:jc w:val="both"/>
              <w:rPr>
                <w:rFonts w:ascii="Times New Roman" w:hAnsi="Times New Roman" w:cs="Times New Roman"/>
                <w:kern w:val="2"/>
                <w:sz w:val="21"/>
                <w:szCs w:val="21"/>
              </w:rPr>
            </w:pPr>
            <w:r>
              <w:rPr>
                <w:rFonts w:hint="eastAsia"/>
                <w:sz w:val="21"/>
                <w:szCs w:val="21"/>
              </w:rPr>
              <w:t>教学重点：1、</w:t>
            </w:r>
            <w:r>
              <w:rPr>
                <w:rFonts w:ascii="Times New Roman" w:hAnsi="Times New Roman" w:cs="Times New Roman"/>
                <w:sz w:val="21"/>
                <w:szCs w:val="21"/>
              </w:rPr>
              <w:t>M</w:t>
            </w:r>
            <w:r>
              <w:rPr>
                <w:rFonts w:ascii="Times New Roman" w:hAnsi="Times New Roman" w:cs="Times New Roman"/>
                <w:color w:val="000000"/>
                <w:sz w:val="21"/>
                <w:szCs w:val="21"/>
              </w:rPr>
              <w:t>easures to tackle climate change</w:t>
            </w:r>
            <w:r>
              <w:rPr>
                <w:rFonts w:hint="eastAsia"/>
              </w:rPr>
              <w:t>；</w:t>
            </w:r>
            <w:r>
              <w:rPr>
                <w:rFonts w:ascii="Times New Roman" w:hAnsi="Times New Roman" w:cs="Times New Roman"/>
                <w:color w:val="000000"/>
                <w:sz w:val="21"/>
                <w:szCs w:val="21"/>
              </w:rPr>
              <w:t>The ability to</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s</w:t>
            </w:r>
            <w:r>
              <w:rPr>
                <w:rFonts w:ascii="Times New Roman" w:hAnsi="Times New Roman" w:cs="Times New Roman"/>
                <w:kern w:val="2"/>
                <w:sz w:val="21"/>
                <w:szCs w:val="21"/>
              </w:rPr>
              <w:t>how cause and effect</w:t>
            </w:r>
            <w:r>
              <w:rPr>
                <w:rFonts w:hint="eastAsia" w:ascii="Times New Roman" w:hAnsi="Times New Roman" w:cs="Times New Roman"/>
                <w:kern w:val="2"/>
                <w:sz w:val="21"/>
                <w:szCs w:val="21"/>
              </w:rPr>
              <w:t>；</w:t>
            </w:r>
          </w:p>
          <w:p w14:paraId="4189C0FF">
            <w:pPr>
              <w:pStyle w:val="14"/>
              <w:widowControl w:val="0"/>
              <w:ind w:firstLine="1050" w:firstLineChars="500"/>
              <w:jc w:val="left"/>
              <w:rPr>
                <w:rFonts w:ascii="宋体" w:hAnsi="宋体"/>
              </w:rPr>
            </w:pPr>
            <w:r>
              <w:rPr>
                <w:rFonts w:ascii="宋体" w:hAnsi="宋体"/>
              </w:rPr>
              <w:t>2</w:t>
            </w:r>
            <w:r>
              <w:rPr>
                <w:rFonts w:hint="eastAsia" w:ascii="宋体" w:hAnsi="宋体"/>
              </w:rPr>
              <w:t>、通过“播报中国”课堂活动，了解中国最新经济发展动向；</w:t>
            </w:r>
          </w:p>
          <w:p w14:paraId="51A5F984">
            <w:pPr>
              <w:pStyle w:val="14"/>
              <w:widowControl w:val="0"/>
              <w:ind w:firstLine="1050" w:firstLineChars="500"/>
              <w:jc w:val="left"/>
            </w:pPr>
            <w:r>
              <w:rPr>
                <w:rFonts w:hint="eastAsia" w:ascii="宋体" w:hAnsi="宋体"/>
              </w:rPr>
              <w:t>3、懂得</w:t>
            </w:r>
            <w:r>
              <w:rPr>
                <w:rFonts w:hint="eastAsia"/>
              </w:rPr>
              <w:t>在企业日常经营和管理中，要把员工的合法权益，健康安全和环境</w:t>
            </w:r>
          </w:p>
          <w:p w14:paraId="5F1A85FD">
            <w:pPr>
              <w:pStyle w:val="14"/>
              <w:widowControl w:val="0"/>
              <w:ind w:firstLine="1260" w:firstLineChars="600"/>
              <w:jc w:val="left"/>
            </w:pPr>
            <w:r>
              <w:rPr>
                <w:rFonts w:hint="eastAsia"/>
              </w:rPr>
              <w:t>保护放在重要位置，培养学生的社会责任心和职业道德操守</w:t>
            </w:r>
            <w:r>
              <w:rPr>
                <w:rFonts w:hint="eastAsia" w:ascii="宋体" w:hAnsi="宋体"/>
              </w:rPr>
              <w:t>。</w:t>
            </w:r>
          </w:p>
          <w:p w14:paraId="5CBDC649">
            <w:pPr>
              <w:widowControl w:val="0"/>
              <w:jc w:val="both"/>
              <w:rPr>
                <w:rFonts w:ascii="Times New Roman" w:hAnsi="Times New Roman" w:cs="Times New Roman"/>
                <w:color w:val="000000"/>
                <w:sz w:val="21"/>
                <w:szCs w:val="21"/>
              </w:rPr>
            </w:pPr>
            <w:r>
              <w:rPr>
                <w:rFonts w:hint="eastAsia"/>
                <w:sz w:val="21"/>
                <w:szCs w:val="21"/>
              </w:rPr>
              <w:t>教学难点：</w:t>
            </w:r>
            <w:r>
              <w:rPr>
                <w:rFonts w:hint="eastAsia" w:ascii="Times New Roman" w:hAnsi="Times New Roman" w:cs="Times New Roman"/>
                <w:color w:val="000000"/>
                <w:sz w:val="21"/>
                <w:szCs w:val="21"/>
              </w:rPr>
              <w:t>保持繁荣与环保的平衡意识；英语中</w:t>
            </w:r>
            <w:r>
              <w:rPr>
                <w:rFonts w:hint="eastAsia" w:ascii="Times New Roman" w:hAnsi="Times New Roman"/>
                <w:color w:val="000000"/>
                <w:sz w:val="21"/>
                <w:szCs w:val="21"/>
              </w:rPr>
              <w:t>因果关系的语篇表达。</w:t>
            </w:r>
          </w:p>
        </w:tc>
      </w:tr>
      <w:tr w14:paraId="7627C7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1650D89">
            <w:pPr>
              <w:pStyle w:val="14"/>
              <w:widowControl w:val="0"/>
              <w:jc w:val="left"/>
              <w:rPr>
                <w:rFonts w:cs="Times New Roman"/>
              </w:rPr>
            </w:pPr>
            <w:r>
              <w:rPr>
                <w:rFonts w:hint="eastAsia" w:ascii="宋体" w:hAnsi="宋体"/>
              </w:rPr>
              <w:t xml:space="preserve">第六单元 </w:t>
            </w:r>
            <w:r>
              <w:t>Marketing</w:t>
            </w:r>
          </w:p>
          <w:p w14:paraId="3CC5027B">
            <w:pPr>
              <w:pStyle w:val="14"/>
              <w:widowControl w:val="0"/>
              <w:ind w:left="1050" w:hanging="1050" w:hangingChars="500"/>
              <w:jc w:val="left"/>
              <w:rPr>
                <w:rFonts w:ascii="宋体" w:hAnsi="宋体"/>
              </w:rPr>
            </w:pPr>
            <w:r>
              <w:rPr>
                <w:rFonts w:hint="eastAsia" w:ascii="宋体" w:hAnsi="宋体"/>
              </w:rPr>
              <w:t xml:space="preserve">知识点： </w:t>
            </w:r>
            <w:r>
              <w:rPr>
                <w:rFonts w:hint="eastAsia"/>
              </w:rPr>
              <w:t>了解品牌效应等市场营销知识及其对应的英语术语和表达；学写市场调研报告。</w:t>
            </w:r>
          </w:p>
          <w:p w14:paraId="6CFD0DFC">
            <w:pPr>
              <w:pStyle w:val="14"/>
              <w:widowControl w:val="0"/>
              <w:ind w:left="1050" w:hanging="1050" w:hangingChars="500"/>
              <w:jc w:val="left"/>
              <w:rPr>
                <w:rFonts w:ascii="宋体" w:hAnsi="宋体"/>
              </w:rPr>
            </w:pPr>
            <w:r>
              <w:rPr>
                <w:rFonts w:hint="eastAsia" w:ascii="宋体" w:hAnsi="宋体"/>
              </w:rPr>
              <w:t>能力要求：知道市场营销的基本概念知识及其英语表达；</w:t>
            </w:r>
            <w:r>
              <w:rPr>
                <w:rFonts w:hint="eastAsia"/>
              </w:rPr>
              <w:t>能运用所学知识进行市场调研并写出正确格式的调研报告</w:t>
            </w:r>
            <w:r>
              <w:rPr>
                <w:rFonts w:hint="eastAsia" w:ascii="宋体" w:hAnsi="宋体"/>
              </w:rPr>
              <w:t>。</w:t>
            </w:r>
          </w:p>
          <w:p w14:paraId="4082CA02">
            <w:pPr>
              <w:widowControl/>
              <w:jc w:val="left"/>
              <w:rPr>
                <w:rFonts w:asciiTheme="minorHAnsi" w:hAnsiTheme="minorHAnsi" w:cstheme="minorHAnsi"/>
                <w:color w:val="000000"/>
                <w:sz w:val="21"/>
                <w:szCs w:val="21"/>
              </w:rPr>
            </w:pPr>
            <w:r>
              <w:rPr>
                <w:rFonts w:hint="eastAsia"/>
                <w:sz w:val="21"/>
                <w:szCs w:val="21"/>
              </w:rPr>
              <w:t>教学重点：</w:t>
            </w:r>
            <w:r>
              <w:rPr>
                <w:rFonts w:hint="eastAsia"/>
              </w:rPr>
              <w:t>1、</w:t>
            </w:r>
            <w:r>
              <w:rPr>
                <w:rFonts w:ascii="Times New Roman" w:hAnsi="Times New Roman" w:cs="Times New Roman"/>
                <w:kern w:val="2"/>
                <w:sz w:val="21"/>
                <w:szCs w:val="21"/>
              </w:rPr>
              <w:t>The importance of brands</w:t>
            </w:r>
            <w:r>
              <w:rPr>
                <w:rFonts w:hint="eastAsia"/>
                <w:kern w:val="2"/>
              </w:rPr>
              <w:t>，</w:t>
            </w:r>
            <w:r>
              <w:rPr>
                <w:rFonts w:ascii="Times New Roman" w:hAnsi="Times New Roman" w:cs="Times New Roman"/>
                <w:color w:val="000000"/>
                <w:sz w:val="21"/>
                <w:szCs w:val="21"/>
              </w:rPr>
              <w:t>Marketing mix</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L</w:t>
            </w:r>
            <w:r>
              <w:rPr>
                <w:rFonts w:hint="eastAsia" w:ascii="Times New Roman" w:hAnsi="Times New Roman" w:cs="Times New Roman"/>
                <w:color w:val="000000"/>
                <w:sz w:val="21"/>
                <w:szCs w:val="21"/>
              </w:rPr>
              <w:t>earn to make a survey；</w:t>
            </w:r>
          </w:p>
          <w:p w14:paraId="50E2AD1A">
            <w:pPr>
              <w:pStyle w:val="14"/>
              <w:widowControl w:val="0"/>
              <w:jc w:val="left"/>
              <w:rPr>
                <w:rFonts w:ascii="宋体" w:hAnsi="宋体"/>
              </w:rPr>
            </w:pPr>
            <w:r>
              <w:rPr>
                <w:rFonts w:ascii="宋体" w:hAnsi="宋体"/>
              </w:rPr>
              <w:t xml:space="preserve">          2</w:t>
            </w:r>
            <w:r>
              <w:rPr>
                <w:rFonts w:hint="eastAsia" w:ascii="宋体" w:hAnsi="宋体"/>
              </w:rPr>
              <w:t>、通过“播报中国”课堂活动，了解中国最新经济发展动向；</w:t>
            </w:r>
          </w:p>
          <w:p w14:paraId="430E6C91">
            <w:pPr>
              <w:pStyle w:val="14"/>
              <w:widowControl w:val="0"/>
              <w:jc w:val="left"/>
              <w:rPr>
                <w:rFonts w:ascii="宋体" w:hAnsi="宋体"/>
              </w:rPr>
            </w:pPr>
            <w:r>
              <w:rPr>
                <w:rFonts w:ascii="宋体" w:hAnsi="宋体"/>
              </w:rPr>
              <w:t xml:space="preserve">          3</w:t>
            </w:r>
            <w:r>
              <w:rPr>
                <w:rFonts w:hint="eastAsia" w:ascii="宋体" w:hAnsi="宋体"/>
              </w:rPr>
              <w:t>、</w:t>
            </w:r>
            <w:r>
              <w:rPr>
                <w:rFonts w:hint="eastAsia" w:asciiTheme="minorHAnsi" w:hAnsiTheme="minorHAnsi" w:cstheme="minorHAnsi"/>
              </w:rPr>
              <w:t>鼓励学生热爱</w:t>
            </w:r>
            <w:r>
              <w:rPr>
                <w:bCs/>
              </w:rPr>
              <w:t>所学专业，勤学多练，锤炼技能</w:t>
            </w:r>
            <w:r>
              <w:rPr>
                <w:rFonts w:hint="eastAsia" w:ascii="宋体" w:hAnsi="宋体"/>
              </w:rPr>
              <w:t>。</w:t>
            </w:r>
            <w:r>
              <w:rPr>
                <w:rFonts w:ascii="宋体" w:hAnsi="宋体"/>
              </w:rPr>
              <w:t xml:space="preserve"> </w:t>
            </w:r>
          </w:p>
          <w:p w14:paraId="1B67BF6F">
            <w:pPr>
              <w:pStyle w:val="14"/>
              <w:widowControl w:val="0"/>
              <w:jc w:val="left"/>
              <w:rPr>
                <w:rFonts w:ascii="宋体" w:hAnsi="宋体"/>
              </w:rPr>
            </w:pPr>
            <w:r>
              <w:rPr>
                <w:rFonts w:hint="eastAsia" w:ascii="宋体" w:hAnsi="宋体"/>
              </w:rPr>
              <w:t>教学难点：</w:t>
            </w:r>
            <w:r>
              <w:rPr>
                <w:rFonts w:hint="eastAsia"/>
              </w:rPr>
              <w:t>市场调查报告写作。</w:t>
            </w:r>
          </w:p>
        </w:tc>
      </w:tr>
      <w:tr w14:paraId="38C429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F0E6971">
            <w:pPr>
              <w:pStyle w:val="14"/>
              <w:widowControl w:val="0"/>
              <w:jc w:val="left"/>
              <w:rPr>
                <w:rFonts w:cs="Times New Roman"/>
              </w:rPr>
            </w:pPr>
            <w:r>
              <w:rPr>
                <w:rFonts w:hint="eastAsia" w:ascii="宋体" w:hAnsi="宋体"/>
              </w:rPr>
              <w:t xml:space="preserve">第七单元 </w:t>
            </w:r>
            <w:r>
              <w:rPr>
                <w:rFonts w:cs="Times New Roman"/>
              </w:rPr>
              <w:t xml:space="preserve"> Outsourcing</w:t>
            </w:r>
          </w:p>
          <w:p w14:paraId="16F00006">
            <w:pPr>
              <w:pStyle w:val="14"/>
              <w:widowControl w:val="0"/>
              <w:ind w:left="1050" w:hanging="1050" w:hangingChars="500"/>
              <w:jc w:val="left"/>
              <w:rPr>
                <w:rFonts w:ascii="宋体" w:hAnsi="宋体"/>
              </w:rPr>
            </w:pPr>
            <w:r>
              <w:rPr>
                <w:rFonts w:hint="eastAsia" w:ascii="宋体" w:hAnsi="宋体"/>
              </w:rPr>
              <w:t>知识点： 了解</w:t>
            </w:r>
            <w:r>
              <w:rPr>
                <w:rFonts w:hint="eastAsia"/>
              </w:rPr>
              <w:t>外包的商业运作和商业环境下各方的关系</w:t>
            </w:r>
            <w:r>
              <w:rPr>
                <w:rFonts w:hint="eastAsia" w:ascii="宋体" w:hAnsi="宋体"/>
              </w:rPr>
              <w:t>及其对应的英语术语和表达；学习</w:t>
            </w:r>
            <w:r>
              <w:rPr>
                <w:rFonts w:hint="eastAsia"/>
              </w:rPr>
              <w:t>运用恰当语言提出建议或建议反馈</w:t>
            </w:r>
            <w:r>
              <w:rPr>
                <w:rFonts w:hint="eastAsia" w:ascii="宋体" w:hAnsi="宋体"/>
              </w:rPr>
              <w:t>。</w:t>
            </w:r>
            <w:r>
              <w:rPr>
                <w:rFonts w:ascii="宋体" w:hAnsi="宋体"/>
              </w:rPr>
              <w:t xml:space="preserve"> </w:t>
            </w:r>
          </w:p>
          <w:p w14:paraId="103DB648">
            <w:pPr>
              <w:pStyle w:val="14"/>
              <w:widowControl w:val="0"/>
              <w:ind w:left="1050" w:hanging="1050" w:hangingChars="500"/>
              <w:jc w:val="left"/>
              <w:rPr>
                <w:rFonts w:ascii="宋体" w:hAnsi="宋体"/>
              </w:rPr>
            </w:pPr>
            <w:r>
              <w:rPr>
                <w:rFonts w:hint="eastAsia" w:ascii="宋体" w:hAnsi="宋体"/>
              </w:rPr>
              <w:t>能力要求：知道商业运营中外包的作用及类型；能用恰当的英语表达</w:t>
            </w:r>
            <w:r>
              <w:rPr>
                <w:rFonts w:hint="eastAsia"/>
              </w:rPr>
              <w:t>提出建议或建议反馈</w:t>
            </w:r>
            <w:r>
              <w:rPr>
                <w:rFonts w:hint="eastAsia" w:ascii="宋体" w:hAnsi="宋体"/>
              </w:rPr>
              <w:t>。</w:t>
            </w:r>
          </w:p>
          <w:p w14:paraId="2A86A24D">
            <w:pPr>
              <w:widowControl/>
              <w:ind w:left="1470" w:hanging="1470" w:hangingChars="700"/>
              <w:jc w:val="left"/>
              <w:rPr>
                <w:rFonts w:ascii="Times New Roman" w:hAnsi="Times New Roman" w:cs="Times New Roman"/>
                <w:color w:val="000000"/>
                <w:sz w:val="21"/>
                <w:szCs w:val="21"/>
              </w:rPr>
            </w:pPr>
            <w:r>
              <w:rPr>
                <w:rFonts w:hint="eastAsia"/>
                <w:sz w:val="21"/>
                <w:szCs w:val="21"/>
              </w:rPr>
              <w:t>教学重点：</w:t>
            </w:r>
            <w:r>
              <w:rPr>
                <w:rFonts w:hint="eastAsia"/>
              </w:rPr>
              <w:t>1、</w:t>
            </w:r>
            <w:r>
              <w:rPr>
                <w:rFonts w:ascii="Times New Roman" w:hAnsi="Times New Roman" w:cs="Times New Roman"/>
                <w:color w:val="000000"/>
                <w:sz w:val="21"/>
                <w:szCs w:val="21"/>
              </w:rPr>
              <w:t>Outsourcing，Various business relationships</w:t>
            </w:r>
            <w:r>
              <w:rPr>
                <w:rFonts w:hint="eastAsia" w:ascii="Times New Roman" w:hAnsi="Times New Roman" w:cs="Times New Roman"/>
                <w:color w:val="000000"/>
                <w:sz w:val="21"/>
                <w:szCs w:val="21"/>
              </w:rPr>
              <w:t>；</w:t>
            </w:r>
            <w:r>
              <w:rPr>
                <w:rFonts w:ascii="Times New Roman" w:hAnsi="Times New Roman"/>
                <w:color w:val="000000"/>
                <w:sz w:val="21"/>
                <w:szCs w:val="21"/>
              </w:rPr>
              <w:t>The ability to mak</w:t>
            </w:r>
            <w:r>
              <w:rPr>
                <w:rFonts w:hint="eastAsia" w:ascii="Times New Roman" w:hAnsi="Times New Roman"/>
                <w:color w:val="000000"/>
                <w:sz w:val="21"/>
                <w:szCs w:val="21"/>
              </w:rPr>
              <w:t>e</w:t>
            </w:r>
            <w:r>
              <w:rPr>
                <w:rFonts w:ascii="Times New Roman" w:hAnsi="Times New Roman"/>
                <w:color w:val="000000"/>
                <w:sz w:val="21"/>
                <w:szCs w:val="21"/>
              </w:rPr>
              <w:t xml:space="preserve"> and respond to suggestions</w:t>
            </w:r>
          </w:p>
          <w:p w14:paraId="0FD49139">
            <w:pPr>
              <w:pStyle w:val="14"/>
              <w:widowControl w:val="0"/>
              <w:jc w:val="left"/>
              <w:rPr>
                <w:rFonts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1A48164E">
            <w:pPr>
              <w:pStyle w:val="14"/>
              <w:widowControl w:val="0"/>
              <w:jc w:val="left"/>
              <w:rPr>
                <w:rFonts w:ascii="宋体" w:hAnsi="宋体"/>
              </w:rPr>
            </w:pPr>
            <w:r>
              <w:rPr>
                <w:rFonts w:hint="eastAsia" w:ascii="宋体" w:hAnsi="宋体"/>
              </w:rPr>
              <w:t xml:space="preserve"> </w:t>
            </w:r>
            <w:r>
              <w:rPr>
                <w:rFonts w:ascii="宋体" w:hAnsi="宋体"/>
              </w:rPr>
              <w:t xml:space="preserve">         3</w:t>
            </w:r>
            <w:r>
              <w:rPr>
                <w:rFonts w:hint="eastAsia" w:ascii="宋体" w:hAnsi="宋体"/>
              </w:rPr>
              <w:t>、鼓励</w:t>
            </w:r>
            <w:r>
              <w:rPr>
                <w:rFonts w:hint="eastAsia"/>
              </w:rPr>
              <w:t>学生</w:t>
            </w:r>
            <w:r>
              <w:rPr>
                <w:bCs/>
              </w:rPr>
              <w:t>根据需要确定学习目标，并设计学习计划</w:t>
            </w:r>
            <w:r>
              <w:rPr>
                <w:rFonts w:hint="eastAsia" w:ascii="宋体" w:hAnsi="宋体"/>
              </w:rPr>
              <w:t>。</w:t>
            </w:r>
          </w:p>
          <w:p w14:paraId="0A0D3C04">
            <w:pPr>
              <w:pStyle w:val="14"/>
              <w:widowControl w:val="0"/>
              <w:jc w:val="left"/>
              <w:rPr>
                <w:rFonts w:ascii="宋体" w:hAnsi="宋体"/>
              </w:rPr>
            </w:pPr>
            <w:r>
              <w:rPr>
                <w:rFonts w:hint="eastAsia" w:ascii="宋体" w:hAnsi="宋体"/>
              </w:rPr>
              <w:t>教学难点：商务英语中</w:t>
            </w:r>
            <w:r>
              <w:rPr>
                <w:rFonts w:hint="eastAsia"/>
              </w:rPr>
              <w:t>提建议和反馈建议的常用表达方式</w:t>
            </w:r>
            <w:r>
              <w:rPr>
                <w:rFonts w:hint="eastAsia" w:ascii="宋体" w:hAnsi="宋体"/>
              </w:rPr>
              <w:t>。</w:t>
            </w:r>
          </w:p>
        </w:tc>
      </w:tr>
      <w:tr w14:paraId="71A139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872B7CF">
            <w:pPr>
              <w:pStyle w:val="14"/>
              <w:widowControl w:val="0"/>
              <w:jc w:val="left"/>
              <w:rPr>
                <w:rFonts w:cs="Times New Roman"/>
              </w:rPr>
            </w:pPr>
            <w:r>
              <w:rPr>
                <w:rFonts w:hint="eastAsia" w:ascii="宋体" w:hAnsi="宋体"/>
              </w:rPr>
              <w:t xml:space="preserve">第八单元  </w:t>
            </w:r>
            <w:r>
              <w:t>Finance</w:t>
            </w:r>
          </w:p>
          <w:p w14:paraId="44026BCC">
            <w:pPr>
              <w:pStyle w:val="14"/>
              <w:widowControl w:val="0"/>
              <w:ind w:left="1050" w:hanging="1050" w:hangingChars="500"/>
              <w:jc w:val="left"/>
              <w:rPr>
                <w:rFonts w:ascii="宋体" w:hAnsi="宋体"/>
              </w:rPr>
            </w:pPr>
            <w:r>
              <w:rPr>
                <w:rFonts w:hint="eastAsia" w:ascii="宋体" w:hAnsi="宋体"/>
              </w:rPr>
              <w:t xml:space="preserve">知识点： </w:t>
            </w:r>
            <w:r>
              <w:rPr>
                <w:rFonts w:ascii="宋体" w:hAnsi="宋体"/>
              </w:rPr>
              <w:t xml:space="preserve"> </w:t>
            </w:r>
            <w:r>
              <w:rPr>
                <w:rFonts w:hint="eastAsia"/>
              </w:rPr>
              <w:t>知道一些商业财务报表的种类与财务数据基础分析；学习商业财务相关术语的英语表达</w:t>
            </w:r>
          </w:p>
          <w:p w14:paraId="2BEE44A8">
            <w:pPr>
              <w:pStyle w:val="14"/>
              <w:widowControl w:val="0"/>
              <w:ind w:left="1050" w:hanging="1050" w:hangingChars="500"/>
              <w:jc w:val="left"/>
              <w:rPr>
                <w:rFonts w:ascii="宋体" w:hAnsi="宋体"/>
              </w:rPr>
            </w:pPr>
            <w:r>
              <w:rPr>
                <w:rFonts w:hint="eastAsia" w:ascii="宋体" w:hAnsi="宋体"/>
              </w:rPr>
              <w:t>能力要求：掌握商务英语中与财务相关的英语词汇；能够阅读一些常见英文财务报表并</w:t>
            </w:r>
            <w:r>
              <w:rPr>
                <w:rFonts w:hint="eastAsia"/>
              </w:rPr>
              <w:t>学会运用视图工具来记载数据</w:t>
            </w:r>
            <w:r>
              <w:rPr>
                <w:rFonts w:hint="eastAsia" w:ascii="宋体" w:hAnsi="宋体"/>
              </w:rPr>
              <w:t>。</w:t>
            </w:r>
            <w:r>
              <w:rPr>
                <w:rFonts w:ascii="宋体" w:hAnsi="宋体"/>
              </w:rPr>
              <w:t xml:space="preserve"> </w:t>
            </w:r>
          </w:p>
          <w:p w14:paraId="6ECCA8CF">
            <w:pPr>
              <w:widowControl/>
              <w:jc w:val="left"/>
              <w:rPr>
                <w:rFonts w:ascii="Times New Roman" w:hAnsi="Times New Roman" w:cs="Times New Roman"/>
                <w:color w:val="000000"/>
                <w:sz w:val="21"/>
                <w:szCs w:val="21"/>
              </w:rPr>
            </w:pPr>
            <w:r>
              <w:rPr>
                <w:rFonts w:hint="eastAsia"/>
                <w:sz w:val="21"/>
                <w:szCs w:val="21"/>
              </w:rPr>
              <w:t>教学重点：</w:t>
            </w:r>
            <w:r>
              <w:rPr>
                <w:rFonts w:hint="eastAsia"/>
              </w:rPr>
              <w:t>1、</w:t>
            </w:r>
            <w:r>
              <w:rPr>
                <w:rFonts w:ascii="Times New Roman" w:hAnsi="Times New Roman" w:cs="Times New Roman"/>
                <w:color w:val="000000"/>
                <w:sz w:val="21"/>
                <w:szCs w:val="21"/>
              </w:rPr>
              <w:t>Profit &amp; loss statement</w:t>
            </w:r>
            <w:r>
              <w:rPr>
                <w:rFonts w:ascii="Times New Roman" w:hAnsi="Times New Roman" w:cs="Times New Roman"/>
                <w:sz w:val="21"/>
                <w:szCs w:val="21"/>
              </w:rPr>
              <w:t>，</w:t>
            </w:r>
            <w:r>
              <w:rPr>
                <w:rFonts w:ascii="Times New Roman" w:hAnsi="Times New Roman" w:cs="Times New Roman"/>
                <w:color w:val="000000"/>
                <w:sz w:val="21"/>
                <w:szCs w:val="21"/>
              </w:rPr>
              <w:t>The ability to use visual aids in presentations</w:t>
            </w:r>
            <w:r>
              <w:rPr>
                <w:rFonts w:hint="eastAsia" w:ascii="Times New Roman" w:hAnsi="Times New Roman" w:cs="Times New Roman"/>
                <w:color w:val="000000"/>
                <w:sz w:val="21"/>
                <w:szCs w:val="21"/>
              </w:rPr>
              <w:t>；</w:t>
            </w:r>
          </w:p>
          <w:p w14:paraId="54F72230">
            <w:pPr>
              <w:pStyle w:val="14"/>
              <w:widowControl w:val="0"/>
              <w:ind w:left="1260" w:hanging="1260" w:hangingChars="600"/>
              <w:jc w:val="left"/>
              <w:rPr>
                <w:rFonts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00B0C7B6">
            <w:pPr>
              <w:pStyle w:val="14"/>
              <w:widowControl w:val="0"/>
              <w:ind w:left="1260" w:hanging="1260" w:hangingChars="600"/>
              <w:jc w:val="left"/>
              <w:rPr>
                <w:rFonts w:ascii="宋体" w:hAnsi="宋体"/>
              </w:rPr>
            </w:pPr>
            <w:r>
              <w:rPr>
                <w:rFonts w:hint="eastAsia" w:ascii="宋体" w:hAnsi="宋体"/>
              </w:rPr>
              <w:t xml:space="preserve"> </w:t>
            </w:r>
            <w:r>
              <w:rPr>
                <w:rFonts w:ascii="宋体" w:hAnsi="宋体"/>
              </w:rPr>
              <w:t xml:space="preserve">         3</w:t>
            </w:r>
            <w:r>
              <w:rPr>
                <w:rFonts w:hint="eastAsia" w:ascii="宋体" w:hAnsi="宋体"/>
              </w:rPr>
              <w:t>、知道商业信息管理的法规与惯例，明白在工作场景中应遵守的职业规范和职业道德操守。</w:t>
            </w:r>
          </w:p>
          <w:p w14:paraId="36ADF6E2">
            <w:pPr>
              <w:pStyle w:val="14"/>
              <w:widowControl w:val="0"/>
              <w:jc w:val="left"/>
              <w:rPr>
                <w:rFonts w:ascii="宋体" w:hAnsi="宋体"/>
              </w:rPr>
            </w:pPr>
            <w:r>
              <w:rPr>
                <w:rFonts w:hint="eastAsia" w:ascii="宋体" w:hAnsi="宋体"/>
              </w:rPr>
              <w:t>教学难点：熟悉</w:t>
            </w:r>
            <w:r>
              <w:rPr>
                <w:rFonts w:hint="eastAsia"/>
              </w:rPr>
              <w:t>有关商业财务的术语和财务利润报表</w:t>
            </w:r>
            <w:r>
              <w:rPr>
                <w:rFonts w:hint="eastAsia" w:ascii="宋体" w:hAnsi="宋体"/>
              </w:rPr>
              <w:t>。</w:t>
            </w:r>
          </w:p>
          <w:p w14:paraId="3C750DDA">
            <w:pPr>
              <w:pStyle w:val="14"/>
              <w:widowControl w:val="0"/>
              <w:jc w:val="left"/>
              <w:rPr>
                <w:rFonts w:ascii="宋体" w:hAnsi="宋体"/>
              </w:rPr>
            </w:pPr>
          </w:p>
        </w:tc>
      </w:tr>
      <w:tr w14:paraId="5E9FDD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12378F5">
            <w:pPr>
              <w:pStyle w:val="14"/>
              <w:widowControl w:val="0"/>
              <w:jc w:val="left"/>
              <w:rPr>
                <w:rFonts w:cs="Times New Roman"/>
              </w:rPr>
            </w:pPr>
            <w:r>
              <w:rPr>
                <w:rFonts w:hint="eastAsia" w:ascii="宋体" w:hAnsi="宋体"/>
              </w:rPr>
              <w:t xml:space="preserve">第九单元  </w:t>
            </w:r>
            <w:r>
              <w:t>Recruitment</w:t>
            </w:r>
          </w:p>
          <w:p w14:paraId="58E441B8">
            <w:pPr>
              <w:pStyle w:val="14"/>
              <w:widowControl w:val="0"/>
              <w:ind w:left="1050" w:hanging="1050" w:hangingChars="500"/>
              <w:jc w:val="left"/>
              <w:rPr>
                <w:rFonts w:ascii="宋体" w:hAnsi="宋体"/>
              </w:rPr>
            </w:pPr>
            <w:r>
              <w:rPr>
                <w:rFonts w:hint="eastAsia" w:ascii="宋体" w:hAnsi="宋体"/>
              </w:rPr>
              <w:t xml:space="preserve">知识点： </w:t>
            </w:r>
            <w:r>
              <w:rPr>
                <w:rFonts w:ascii="宋体" w:hAnsi="宋体"/>
              </w:rPr>
              <w:t xml:space="preserve"> </w:t>
            </w:r>
            <w:r>
              <w:rPr>
                <w:rFonts w:hint="eastAsia" w:ascii="宋体" w:hAnsi="宋体"/>
              </w:rPr>
              <w:t>了解</w:t>
            </w:r>
            <w:r>
              <w:rPr>
                <w:rFonts w:hint="eastAsia"/>
              </w:rPr>
              <w:t>招聘的流程；英文求职简历的格式及语言特点</w:t>
            </w:r>
            <w:r>
              <w:rPr>
                <w:rFonts w:hint="eastAsia" w:ascii="宋体" w:hAnsi="宋体"/>
              </w:rPr>
              <w:t>。</w:t>
            </w:r>
            <w:r>
              <w:rPr>
                <w:rFonts w:ascii="宋体" w:hAnsi="宋体"/>
              </w:rPr>
              <w:t xml:space="preserve"> </w:t>
            </w:r>
          </w:p>
          <w:p w14:paraId="47BA0D34">
            <w:pPr>
              <w:pStyle w:val="14"/>
              <w:widowControl w:val="0"/>
              <w:ind w:left="1050" w:hanging="1050" w:hangingChars="500"/>
              <w:jc w:val="left"/>
              <w:rPr>
                <w:rFonts w:ascii="宋体" w:hAnsi="宋体"/>
              </w:rPr>
            </w:pPr>
            <w:r>
              <w:rPr>
                <w:rFonts w:hint="eastAsia" w:ascii="宋体" w:hAnsi="宋体"/>
              </w:rPr>
              <w:t>能力要求：知道职场招聘的常见流程及与人力资源相关的英语表达；学会英文求职简历的写作。</w:t>
            </w:r>
          </w:p>
          <w:p w14:paraId="47996A2B">
            <w:pPr>
              <w:widowControl/>
              <w:jc w:val="left"/>
              <w:rPr>
                <w:rFonts w:ascii="Times New Roman" w:hAnsi="Times New Roman" w:cs="Times New Roman"/>
                <w:color w:val="000000"/>
                <w:sz w:val="21"/>
                <w:szCs w:val="21"/>
              </w:rPr>
            </w:pPr>
            <w:r>
              <w:rPr>
                <w:rFonts w:hint="eastAsia"/>
                <w:sz w:val="21"/>
                <w:szCs w:val="21"/>
              </w:rPr>
              <w:t>教学重点：</w:t>
            </w:r>
            <w:r>
              <w:rPr>
                <w:rFonts w:hint="eastAsia"/>
              </w:rPr>
              <w:t>1、</w:t>
            </w:r>
            <w:r>
              <w:rPr>
                <w:rFonts w:hint="eastAsia" w:ascii="Times New Roman" w:hAnsi="Times New Roman" w:cs="Times New Roman"/>
                <w:color w:val="000000"/>
                <w:sz w:val="21"/>
                <w:szCs w:val="21"/>
              </w:rPr>
              <w:t>R</w:t>
            </w:r>
            <w:r>
              <w:rPr>
                <w:rFonts w:ascii="Times New Roman" w:hAnsi="Times New Roman" w:cs="Times New Roman"/>
                <w:color w:val="000000"/>
                <w:sz w:val="21"/>
                <w:szCs w:val="21"/>
              </w:rPr>
              <w:t>ecruitment process</w:t>
            </w:r>
            <w:r>
              <w:rPr>
                <w:rFonts w:hint="eastAsia"/>
              </w:rPr>
              <w:t>；</w:t>
            </w:r>
            <w:r>
              <w:rPr>
                <w:rFonts w:ascii="Times New Roman" w:hAnsi="Times New Roman" w:cs="Times New Roman"/>
                <w:color w:val="000000"/>
                <w:sz w:val="21"/>
                <w:szCs w:val="21"/>
              </w:rPr>
              <w:t>The ability to write a qualified CV/a job application</w:t>
            </w:r>
            <w:r>
              <w:rPr>
                <w:rFonts w:hint="eastAsia" w:ascii="Times New Roman" w:hAnsi="Times New Roman" w:cs="Times New Roman"/>
                <w:color w:val="000000"/>
                <w:sz w:val="21"/>
                <w:szCs w:val="21"/>
              </w:rPr>
              <w:t>；</w:t>
            </w:r>
          </w:p>
          <w:p w14:paraId="4CD0A23C">
            <w:pPr>
              <w:pStyle w:val="14"/>
              <w:widowControl w:val="0"/>
              <w:jc w:val="left"/>
              <w:rPr>
                <w:rFonts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5A90D707">
            <w:pPr>
              <w:pStyle w:val="14"/>
              <w:widowControl w:val="0"/>
              <w:ind w:left="1470" w:hanging="1470" w:hangingChars="700"/>
              <w:jc w:val="left"/>
              <w:rPr>
                <w:rFonts w:ascii="宋体" w:hAnsi="宋体"/>
              </w:rPr>
            </w:pPr>
            <w:r>
              <w:rPr>
                <w:rFonts w:hint="eastAsia" w:ascii="宋体" w:hAnsi="宋体"/>
              </w:rPr>
              <w:t xml:space="preserve"> </w:t>
            </w:r>
            <w:r>
              <w:rPr>
                <w:rFonts w:ascii="宋体" w:hAnsi="宋体"/>
              </w:rPr>
              <w:t xml:space="preserve">         3</w:t>
            </w:r>
            <w:r>
              <w:rPr>
                <w:rFonts w:hint="eastAsia" w:ascii="宋体" w:hAnsi="宋体"/>
              </w:rPr>
              <w:t>、</w:t>
            </w:r>
            <w:r>
              <w:rPr>
                <w:rFonts w:hint="eastAsia"/>
                <w:sz w:val="20"/>
                <w:szCs w:val="20"/>
              </w:rPr>
              <w:t>鼓励学生在自身的职业选择和发展中，要有大局观及长远的眼光和目标，帮助学生形成正确的择业观</w:t>
            </w:r>
            <w:r>
              <w:rPr>
                <w:rFonts w:hint="eastAsia" w:ascii="宋体" w:hAnsi="宋体"/>
              </w:rPr>
              <w:t>。</w:t>
            </w:r>
          </w:p>
          <w:p w14:paraId="638ACB23">
            <w:pPr>
              <w:pStyle w:val="14"/>
              <w:widowControl w:val="0"/>
              <w:jc w:val="left"/>
              <w:rPr>
                <w:rFonts w:ascii="宋体" w:hAnsi="宋体"/>
              </w:rPr>
            </w:pPr>
            <w:r>
              <w:rPr>
                <w:rFonts w:hint="eastAsia" w:ascii="宋体" w:hAnsi="宋体"/>
              </w:rPr>
              <w:t>教学难点：英文</w:t>
            </w:r>
            <w:r>
              <w:rPr>
                <w:rFonts w:hint="eastAsia"/>
              </w:rPr>
              <w:t>求职简历的写作</w:t>
            </w:r>
            <w:r>
              <w:rPr>
                <w:rFonts w:hint="eastAsia" w:ascii="宋体" w:hAnsi="宋体"/>
              </w:rPr>
              <w:t>。</w:t>
            </w:r>
          </w:p>
        </w:tc>
      </w:tr>
      <w:tr w14:paraId="63D481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60329EA">
            <w:pPr>
              <w:pStyle w:val="14"/>
              <w:widowControl w:val="0"/>
              <w:jc w:val="left"/>
              <w:rPr>
                <w:rFonts w:cs="Times New Roman"/>
              </w:rPr>
            </w:pPr>
            <w:r>
              <w:rPr>
                <w:rFonts w:hint="eastAsia" w:ascii="宋体" w:hAnsi="宋体"/>
              </w:rPr>
              <w:t xml:space="preserve">第十单元 </w:t>
            </w:r>
            <w:r>
              <w:rPr>
                <w:rFonts w:cs="Times New Roman"/>
              </w:rPr>
              <w:t xml:space="preserve"> Counterfeiting</w:t>
            </w:r>
          </w:p>
          <w:p w14:paraId="326BB89F">
            <w:pPr>
              <w:pStyle w:val="14"/>
              <w:widowControl w:val="0"/>
              <w:ind w:left="1050" w:hanging="1050" w:hangingChars="500"/>
              <w:jc w:val="left"/>
              <w:rPr>
                <w:rFonts w:ascii="宋体" w:hAnsi="宋体"/>
              </w:rPr>
            </w:pPr>
            <w:r>
              <w:rPr>
                <w:rFonts w:hint="eastAsia" w:ascii="宋体" w:hAnsi="宋体"/>
              </w:rPr>
              <w:t xml:space="preserve">知识点： </w:t>
            </w:r>
            <w:r>
              <w:rPr>
                <w:rFonts w:ascii="宋体" w:hAnsi="宋体"/>
              </w:rPr>
              <w:t xml:space="preserve"> </w:t>
            </w:r>
            <w:r>
              <w:rPr>
                <w:rFonts w:hint="eastAsia" w:ascii="宋体" w:hAnsi="宋体"/>
              </w:rPr>
              <w:t>了解</w:t>
            </w:r>
            <w:r>
              <w:rPr>
                <w:rFonts w:hint="eastAsia"/>
              </w:rPr>
              <w:t>商业经营中假冒伪劣行为的存在，培养“诚信”的职业操守；用英语阐述事由</w:t>
            </w:r>
            <w:r>
              <w:rPr>
                <w:rFonts w:hint="eastAsia" w:ascii="宋体" w:hAnsi="宋体"/>
              </w:rPr>
              <w:t>。</w:t>
            </w:r>
          </w:p>
          <w:p w14:paraId="69967198">
            <w:pPr>
              <w:pStyle w:val="14"/>
              <w:widowControl w:val="0"/>
              <w:ind w:left="1050" w:hanging="1050" w:hangingChars="500"/>
              <w:jc w:val="left"/>
              <w:rPr>
                <w:rFonts w:ascii="宋体" w:hAnsi="宋体"/>
              </w:rPr>
            </w:pPr>
            <w:r>
              <w:rPr>
                <w:rFonts w:hint="eastAsia" w:ascii="宋体" w:hAnsi="宋体"/>
              </w:rPr>
              <w:t>能力要求：认识</w:t>
            </w:r>
            <w:r>
              <w:rPr>
                <w:rFonts w:hint="eastAsia"/>
              </w:rPr>
              <w:t>商业经营中假冒伪劣行为的错误存在，学会用法律法规保护合法权益，自觉抵制商业欺瞒的不法行为</w:t>
            </w:r>
            <w:r>
              <w:rPr>
                <w:rFonts w:hint="eastAsia" w:ascii="宋体" w:hAnsi="宋体"/>
              </w:rPr>
              <w:t>。</w:t>
            </w:r>
          </w:p>
          <w:p w14:paraId="4B90B926">
            <w:pPr>
              <w:widowControl/>
              <w:jc w:val="left"/>
              <w:rPr>
                <w:rFonts w:ascii="Times New Roman" w:hAnsi="Times New Roman" w:cs="Times New Roman"/>
                <w:color w:val="000000"/>
              </w:rPr>
            </w:pPr>
            <w:r>
              <w:rPr>
                <w:rFonts w:hint="eastAsia"/>
                <w:sz w:val="21"/>
                <w:szCs w:val="21"/>
              </w:rPr>
              <w:t>教学重点：</w:t>
            </w:r>
            <w:r>
              <w:rPr>
                <w:rFonts w:hint="eastAsia"/>
              </w:rPr>
              <w:t>1、</w:t>
            </w:r>
            <w:r>
              <w:rPr>
                <w:rFonts w:hint="eastAsia" w:ascii="Times New Roman" w:hAnsi="Times New Roman" w:cs="Times New Roman"/>
                <w:color w:val="000000"/>
                <w:sz w:val="21"/>
                <w:szCs w:val="21"/>
              </w:rPr>
              <w:t>C</w:t>
            </w:r>
            <w:r>
              <w:rPr>
                <w:rFonts w:ascii="Times New Roman" w:hAnsi="Times New Roman" w:cs="Times New Roman"/>
                <w:color w:val="000000"/>
                <w:sz w:val="21"/>
                <w:szCs w:val="21"/>
              </w:rPr>
              <w:t>ounterfeiting &amp; anti-counterfeiting</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The ability to give logic reasons</w:t>
            </w:r>
          </w:p>
          <w:p w14:paraId="6B480A0A">
            <w:pPr>
              <w:pStyle w:val="14"/>
              <w:widowControl w:val="0"/>
              <w:jc w:val="left"/>
              <w:rPr>
                <w:rFonts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0770084B">
            <w:pPr>
              <w:pStyle w:val="14"/>
              <w:widowControl w:val="0"/>
              <w:ind w:left="1470" w:hanging="1470" w:hangingChars="700"/>
              <w:jc w:val="left"/>
              <w:rPr>
                <w:rFonts w:ascii="宋体" w:hAnsi="宋体"/>
              </w:rPr>
            </w:pPr>
            <w:r>
              <w:rPr>
                <w:rFonts w:hint="eastAsia" w:ascii="宋体" w:hAnsi="宋体"/>
              </w:rPr>
              <w:t xml:space="preserve"> </w:t>
            </w:r>
            <w:r>
              <w:rPr>
                <w:rFonts w:ascii="宋体" w:hAnsi="宋体"/>
              </w:rPr>
              <w:t xml:space="preserve">         3</w:t>
            </w:r>
            <w:r>
              <w:rPr>
                <w:rFonts w:hint="eastAsia" w:ascii="宋体" w:hAnsi="宋体"/>
              </w:rPr>
              <w:t>、在学习企业的日常生产和管理中，</w:t>
            </w:r>
            <w:r>
              <w:rPr>
                <w:rFonts w:hint="eastAsia"/>
              </w:rPr>
              <w:t>了解与行业相关的职业法规，遵守职业规范，</w:t>
            </w:r>
            <w:r>
              <w:rPr>
                <w:rFonts w:hint="eastAsia" w:ascii="宋体" w:hAnsi="宋体"/>
              </w:rPr>
              <w:t>培养学生的社会责任心和职业素养。</w:t>
            </w:r>
          </w:p>
          <w:p w14:paraId="0A1BB3FC">
            <w:pPr>
              <w:pStyle w:val="14"/>
              <w:widowControl w:val="0"/>
              <w:jc w:val="left"/>
              <w:rPr>
                <w:rFonts w:ascii="宋体" w:hAnsi="宋体"/>
              </w:rPr>
            </w:pPr>
            <w:r>
              <w:rPr>
                <w:rFonts w:hint="eastAsia" w:ascii="宋体" w:hAnsi="宋体"/>
              </w:rPr>
              <w:t>教学难点：商务英语中如何条理清楚地</w:t>
            </w:r>
            <w:r>
              <w:rPr>
                <w:rFonts w:hint="eastAsia"/>
              </w:rPr>
              <w:t>阐明事由</w:t>
            </w:r>
            <w:r>
              <w:rPr>
                <w:rFonts w:hint="eastAsia" w:ascii="宋体" w:hAnsi="宋体"/>
              </w:rPr>
              <w:t>。</w:t>
            </w:r>
          </w:p>
        </w:tc>
      </w:tr>
      <w:tr w14:paraId="55C71A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9A254C9">
            <w:pPr>
              <w:pStyle w:val="14"/>
              <w:widowControl w:val="0"/>
              <w:jc w:val="left"/>
              <w:rPr>
                <w:rFonts w:cs="Times New Roman"/>
              </w:rPr>
            </w:pPr>
            <w:r>
              <w:rPr>
                <w:rFonts w:hint="eastAsia" w:ascii="宋体" w:hAnsi="宋体"/>
              </w:rPr>
              <w:t xml:space="preserve">第十一单元 </w:t>
            </w:r>
            <w:r>
              <w:rPr>
                <w:rFonts w:cs="Times New Roman"/>
              </w:rPr>
              <w:t xml:space="preserve"> </w:t>
            </w:r>
            <w:r>
              <w:rPr>
                <w:rFonts w:hint="eastAsia" w:cs="Times New Roman"/>
              </w:rPr>
              <w:t>Group</w:t>
            </w:r>
            <w:r>
              <w:rPr>
                <w:rFonts w:cs="Times New Roman"/>
              </w:rPr>
              <w:t xml:space="preserve"> </w:t>
            </w:r>
            <w:r>
              <w:rPr>
                <w:rFonts w:hint="eastAsia" w:cs="Times New Roman"/>
              </w:rPr>
              <w:t>Project</w:t>
            </w:r>
          </w:p>
          <w:p w14:paraId="46EBCC02">
            <w:pPr>
              <w:pStyle w:val="14"/>
              <w:widowControl w:val="0"/>
              <w:ind w:left="1050" w:hanging="1050" w:hangingChars="500"/>
              <w:jc w:val="left"/>
              <w:rPr>
                <w:rFonts w:ascii="宋体" w:hAnsi="宋体"/>
              </w:rPr>
            </w:pPr>
            <w:r>
              <w:rPr>
                <w:rFonts w:hint="eastAsia" w:ascii="宋体" w:hAnsi="宋体"/>
              </w:rPr>
              <w:t xml:space="preserve">知识点： </w:t>
            </w:r>
            <w:r>
              <w:rPr>
                <w:rFonts w:ascii="宋体" w:hAnsi="宋体"/>
              </w:rPr>
              <w:t xml:space="preserve"> </w:t>
            </w:r>
            <w:r>
              <w:rPr>
                <w:rFonts w:hint="eastAsia" w:ascii="宋体" w:hAnsi="宋体"/>
              </w:rPr>
              <w:t>综合运用各单元所学知识，分小组协作完成教师设定的相关商务活动策划项目任务。</w:t>
            </w:r>
          </w:p>
          <w:p w14:paraId="5EFE543F">
            <w:pPr>
              <w:pStyle w:val="14"/>
              <w:widowControl w:val="0"/>
              <w:ind w:left="1050" w:hanging="1050" w:hangingChars="500"/>
              <w:jc w:val="left"/>
              <w:rPr>
                <w:rFonts w:ascii="宋体" w:hAnsi="宋体"/>
              </w:rPr>
            </w:pPr>
            <w:r>
              <w:rPr>
                <w:rFonts w:hint="eastAsia" w:ascii="宋体" w:hAnsi="宋体"/>
              </w:rPr>
              <w:t>能力要求：掌握相关商务领域基本知识概念及其对应的英语表达；有一定的计划组织能力和协同创新精神。</w:t>
            </w:r>
          </w:p>
          <w:p w14:paraId="5DF2E7D3">
            <w:pPr>
              <w:pStyle w:val="14"/>
              <w:widowControl w:val="0"/>
              <w:ind w:left="1260" w:hanging="1260" w:hangingChars="600"/>
              <w:jc w:val="left"/>
              <w:rPr>
                <w:rFonts w:ascii="宋体" w:hAnsi="宋体"/>
              </w:rPr>
            </w:pPr>
            <w:r>
              <w:rPr>
                <w:rFonts w:hint="eastAsia" w:ascii="宋体" w:hAnsi="宋体"/>
              </w:rPr>
              <w:t>教学重点：1、学生分小组，自主计划学习实践，分工完成所选项目任务；</w:t>
            </w:r>
          </w:p>
          <w:p w14:paraId="4AB47BEB">
            <w:pPr>
              <w:pStyle w:val="14"/>
              <w:widowControl w:val="0"/>
              <w:jc w:val="left"/>
              <w:rPr>
                <w:rFonts w:ascii="宋体" w:hAnsi="宋体"/>
              </w:rPr>
            </w:pPr>
            <w:r>
              <w:rPr>
                <w:rFonts w:hint="eastAsia" w:ascii="宋体" w:hAnsi="宋体"/>
              </w:rPr>
              <w:t xml:space="preserve"> </w:t>
            </w:r>
            <w:r>
              <w:rPr>
                <w:rFonts w:ascii="宋体" w:hAnsi="宋体"/>
              </w:rPr>
              <w:t xml:space="preserve">         2</w:t>
            </w:r>
            <w:r>
              <w:rPr>
                <w:rFonts w:hint="eastAsia" w:ascii="宋体" w:hAnsi="宋体"/>
              </w:rPr>
              <w:t>、学生在课堂展示小组项目任务及对任务完成质量的评估与讨论；</w:t>
            </w:r>
          </w:p>
          <w:p w14:paraId="0902C04A">
            <w:pPr>
              <w:pStyle w:val="14"/>
              <w:widowControl w:val="0"/>
              <w:ind w:left="1260" w:hanging="1260" w:hangingChars="600"/>
              <w:jc w:val="left"/>
              <w:rPr>
                <w:rFonts w:ascii="宋体" w:hAnsi="宋体"/>
              </w:rPr>
            </w:pPr>
            <w:r>
              <w:rPr>
                <w:rFonts w:hint="eastAsia" w:ascii="宋体" w:hAnsi="宋体"/>
              </w:rPr>
              <w:t xml:space="preserve"> </w:t>
            </w:r>
            <w:r>
              <w:rPr>
                <w:rFonts w:ascii="宋体" w:hAnsi="宋体"/>
              </w:rPr>
              <w:t xml:space="preserve">         3</w:t>
            </w:r>
            <w:r>
              <w:rPr>
                <w:rFonts w:hint="eastAsia" w:ascii="宋体" w:hAnsi="宋体"/>
              </w:rPr>
              <w:t>、鼓励学生积极参与小组项目任务计划，运用网络数字化技术收集所需信息和资料，强化团队协作精神，完成自主实践任务。</w:t>
            </w:r>
          </w:p>
          <w:p w14:paraId="5EF41B45">
            <w:pPr>
              <w:pStyle w:val="14"/>
              <w:widowControl w:val="0"/>
              <w:ind w:left="1050" w:hanging="1050" w:hangingChars="500"/>
              <w:jc w:val="left"/>
              <w:rPr>
                <w:rFonts w:ascii="宋体" w:hAnsi="宋体"/>
              </w:rPr>
            </w:pPr>
            <w:r>
              <w:rPr>
                <w:rFonts w:hint="eastAsia" w:ascii="宋体" w:hAnsi="宋体"/>
              </w:rPr>
              <w:t>教学难点：如何计划安排小组项目任务，如何运用正确英语语言（书面和口语）进行任务展示。</w:t>
            </w:r>
          </w:p>
        </w:tc>
      </w:tr>
      <w:bookmarkEnd w:id="0"/>
      <w:bookmarkEnd w:id="1"/>
    </w:tbl>
    <w:p w14:paraId="072D58E4">
      <w:pPr>
        <w:pStyle w:val="17"/>
        <w:spacing w:before="81" w:after="163"/>
        <w:rPr>
          <w:rFonts w:hint="eastAsia"/>
        </w:rPr>
      </w:pPr>
    </w:p>
    <w:p w14:paraId="3BF6F625">
      <w:pPr>
        <w:pStyle w:val="17"/>
        <w:spacing w:before="81" w:after="163"/>
      </w:pPr>
      <w:r>
        <w:rPr>
          <w:rFonts w:hint="eastAsia"/>
        </w:rPr>
        <w:t>（二）教学单元对课程目标的支撑关系</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07"/>
        <w:gridCol w:w="872"/>
        <w:gridCol w:w="1016"/>
        <w:gridCol w:w="1016"/>
        <w:gridCol w:w="1064"/>
        <w:gridCol w:w="1099"/>
        <w:gridCol w:w="932"/>
      </w:tblGrid>
      <w:tr w14:paraId="3E94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2253" w:type="dxa"/>
            <w:tcBorders>
              <w:top w:val="single" w:color="auto" w:sz="12" w:space="0"/>
              <w:left w:val="single" w:color="auto" w:sz="12" w:space="0"/>
              <w:tl2br w:val="single" w:color="auto" w:sz="4" w:space="0"/>
            </w:tcBorders>
          </w:tcPr>
          <w:p w14:paraId="6BCA610C">
            <w:pPr>
              <w:pStyle w:val="13"/>
              <w:ind w:firstLine="1470"/>
              <w:jc w:val="right"/>
              <w:rPr>
                <w:szCs w:val="16"/>
              </w:rPr>
            </w:pPr>
            <w:r>
              <w:rPr>
                <w:rFonts w:hint="eastAsia"/>
                <w:szCs w:val="16"/>
              </w:rPr>
              <w:t>课程目标</w:t>
            </w:r>
          </w:p>
          <w:p w14:paraId="4DF9EB37">
            <w:pPr>
              <w:pStyle w:val="13"/>
              <w:ind w:right="210"/>
              <w:jc w:val="left"/>
              <w:rPr>
                <w:szCs w:val="16"/>
              </w:rPr>
            </w:pPr>
          </w:p>
          <w:p w14:paraId="07C17F84">
            <w:pPr>
              <w:pStyle w:val="13"/>
              <w:ind w:right="210"/>
              <w:jc w:val="left"/>
              <w:rPr>
                <w:szCs w:val="16"/>
              </w:rPr>
            </w:pPr>
            <w:r>
              <w:rPr>
                <w:rFonts w:hint="eastAsia"/>
                <w:szCs w:val="16"/>
              </w:rPr>
              <w:t>教学单元</w:t>
            </w:r>
          </w:p>
        </w:tc>
        <w:tc>
          <w:tcPr>
            <w:tcW w:w="851" w:type="dxa"/>
            <w:tcBorders>
              <w:top w:val="single" w:color="auto" w:sz="12" w:space="0"/>
            </w:tcBorders>
            <w:vAlign w:val="center"/>
          </w:tcPr>
          <w:p w14:paraId="254598F6">
            <w:pPr>
              <w:pStyle w:val="13"/>
              <w:rPr>
                <w:szCs w:val="16"/>
              </w:rPr>
            </w:pPr>
            <w:r>
              <w:rPr>
                <w:szCs w:val="16"/>
              </w:rPr>
              <w:t>1</w:t>
            </w:r>
          </w:p>
        </w:tc>
        <w:tc>
          <w:tcPr>
            <w:tcW w:w="992" w:type="dxa"/>
            <w:tcBorders>
              <w:top w:val="single" w:color="auto" w:sz="12" w:space="0"/>
            </w:tcBorders>
            <w:vAlign w:val="center"/>
          </w:tcPr>
          <w:p w14:paraId="7A09DD12">
            <w:pPr>
              <w:pStyle w:val="13"/>
              <w:rPr>
                <w:szCs w:val="16"/>
              </w:rPr>
            </w:pPr>
            <w:r>
              <w:rPr>
                <w:szCs w:val="16"/>
              </w:rPr>
              <w:t>2</w:t>
            </w:r>
          </w:p>
        </w:tc>
        <w:tc>
          <w:tcPr>
            <w:tcW w:w="992" w:type="dxa"/>
            <w:tcBorders>
              <w:top w:val="single" w:color="auto" w:sz="12" w:space="0"/>
            </w:tcBorders>
            <w:vAlign w:val="center"/>
          </w:tcPr>
          <w:p w14:paraId="6772F538">
            <w:pPr>
              <w:pStyle w:val="13"/>
              <w:rPr>
                <w:szCs w:val="16"/>
              </w:rPr>
            </w:pPr>
            <w:r>
              <w:rPr>
                <w:szCs w:val="16"/>
              </w:rPr>
              <w:t>3</w:t>
            </w:r>
          </w:p>
        </w:tc>
        <w:tc>
          <w:tcPr>
            <w:tcW w:w="1039" w:type="dxa"/>
            <w:tcBorders>
              <w:top w:val="single" w:color="auto" w:sz="12" w:space="0"/>
            </w:tcBorders>
            <w:vAlign w:val="center"/>
          </w:tcPr>
          <w:p w14:paraId="403664F2">
            <w:pPr>
              <w:pStyle w:val="13"/>
              <w:rPr>
                <w:szCs w:val="16"/>
              </w:rPr>
            </w:pPr>
            <w:r>
              <w:rPr>
                <w:rFonts w:hint="eastAsia"/>
                <w:szCs w:val="16"/>
              </w:rPr>
              <w:t>4</w:t>
            </w:r>
          </w:p>
        </w:tc>
        <w:tc>
          <w:tcPr>
            <w:tcW w:w="1073" w:type="dxa"/>
            <w:tcBorders>
              <w:top w:val="single" w:color="auto" w:sz="12" w:space="0"/>
            </w:tcBorders>
            <w:vAlign w:val="center"/>
          </w:tcPr>
          <w:p w14:paraId="01CB7E92">
            <w:pPr>
              <w:pStyle w:val="13"/>
              <w:rPr>
                <w:szCs w:val="16"/>
              </w:rPr>
            </w:pPr>
            <w:r>
              <w:rPr>
                <w:rFonts w:hint="eastAsia"/>
                <w:szCs w:val="16"/>
              </w:rPr>
              <w:t>5</w:t>
            </w:r>
          </w:p>
        </w:tc>
        <w:tc>
          <w:tcPr>
            <w:tcW w:w="910" w:type="dxa"/>
            <w:tcBorders>
              <w:top w:val="single" w:color="auto" w:sz="12" w:space="0"/>
              <w:right w:val="single" w:color="auto" w:sz="12" w:space="0"/>
            </w:tcBorders>
            <w:vAlign w:val="center"/>
          </w:tcPr>
          <w:p w14:paraId="76C354AB">
            <w:pPr>
              <w:pStyle w:val="13"/>
              <w:rPr>
                <w:szCs w:val="16"/>
              </w:rPr>
            </w:pPr>
          </w:p>
        </w:tc>
      </w:tr>
      <w:tr w14:paraId="35C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5211E61F">
            <w:pPr>
              <w:pStyle w:val="14"/>
              <w:widowControl w:val="0"/>
              <w:jc w:val="left"/>
            </w:pPr>
            <w:r>
              <w:rPr>
                <w:rFonts w:hint="eastAsia" w:ascii="宋体" w:hAnsi="宋体"/>
                <w:bCs/>
              </w:rPr>
              <w:t>第一单元</w:t>
            </w:r>
            <w:r>
              <w:rPr>
                <w:bCs/>
              </w:rPr>
              <w:t>Companie</w:t>
            </w:r>
            <w:r>
              <w:rPr>
                <w:rFonts w:cs="Times New Roman"/>
                <w:bCs/>
              </w:rPr>
              <w:t>s</w:t>
            </w:r>
          </w:p>
        </w:tc>
        <w:tc>
          <w:tcPr>
            <w:tcW w:w="851" w:type="dxa"/>
            <w:vAlign w:val="center"/>
          </w:tcPr>
          <w:p w14:paraId="13B60888">
            <w:pPr>
              <w:pStyle w:val="14"/>
            </w:pPr>
            <w:r>
              <w:rPr>
                <w:rFonts w:ascii="宋体" w:hAnsi="宋体"/>
                <w:color w:val="000000" w:themeColor="text1"/>
                <w14:textFill>
                  <w14:solidFill>
                    <w14:schemeClr w14:val="tx1"/>
                  </w14:solidFill>
                </w14:textFill>
              </w:rPr>
              <w:t>√</w:t>
            </w:r>
          </w:p>
        </w:tc>
        <w:tc>
          <w:tcPr>
            <w:tcW w:w="992" w:type="dxa"/>
            <w:vAlign w:val="center"/>
          </w:tcPr>
          <w:p w14:paraId="49721801">
            <w:pPr>
              <w:pStyle w:val="14"/>
            </w:pPr>
            <w:r>
              <w:rPr>
                <w:rFonts w:ascii="宋体" w:hAnsi="宋体"/>
                <w:color w:val="000000" w:themeColor="text1"/>
                <w14:textFill>
                  <w14:solidFill>
                    <w14:schemeClr w14:val="tx1"/>
                  </w14:solidFill>
                </w14:textFill>
              </w:rPr>
              <w:t>√</w:t>
            </w:r>
          </w:p>
        </w:tc>
        <w:tc>
          <w:tcPr>
            <w:tcW w:w="992" w:type="dxa"/>
            <w:vAlign w:val="center"/>
          </w:tcPr>
          <w:p w14:paraId="390FCCF5">
            <w:pPr>
              <w:pStyle w:val="14"/>
            </w:pPr>
          </w:p>
        </w:tc>
        <w:tc>
          <w:tcPr>
            <w:tcW w:w="1039" w:type="dxa"/>
            <w:vAlign w:val="center"/>
          </w:tcPr>
          <w:p w14:paraId="2E36B0BE">
            <w:pPr>
              <w:pStyle w:val="14"/>
            </w:pPr>
          </w:p>
        </w:tc>
        <w:tc>
          <w:tcPr>
            <w:tcW w:w="1073" w:type="dxa"/>
            <w:vAlign w:val="center"/>
          </w:tcPr>
          <w:p w14:paraId="0327256B">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0FD33CC9">
            <w:pPr>
              <w:pStyle w:val="14"/>
            </w:pPr>
          </w:p>
        </w:tc>
      </w:tr>
      <w:tr w14:paraId="38CC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7A2E293B">
            <w:pPr>
              <w:pStyle w:val="14"/>
              <w:widowControl w:val="0"/>
              <w:jc w:val="left"/>
            </w:pPr>
            <w:r>
              <w:rPr>
                <w:rFonts w:hint="eastAsia" w:ascii="宋体" w:hAnsi="宋体"/>
              </w:rPr>
              <w:t>第二单元</w:t>
            </w:r>
            <w:r>
              <w:rPr>
                <w:rFonts w:cs="Times New Roman"/>
              </w:rPr>
              <w:t xml:space="preserve"> Leadership</w:t>
            </w:r>
          </w:p>
        </w:tc>
        <w:tc>
          <w:tcPr>
            <w:tcW w:w="851" w:type="dxa"/>
            <w:vAlign w:val="center"/>
          </w:tcPr>
          <w:p w14:paraId="57F0A867">
            <w:pPr>
              <w:pStyle w:val="14"/>
            </w:pPr>
            <w:r>
              <w:rPr>
                <w:rFonts w:ascii="宋体" w:hAnsi="宋体"/>
                <w:color w:val="000000" w:themeColor="text1"/>
                <w14:textFill>
                  <w14:solidFill>
                    <w14:schemeClr w14:val="tx1"/>
                  </w14:solidFill>
                </w14:textFill>
              </w:rPr>
              <w:t>√</w:t>
            </w:r>
          </w:p>
        </w:tc>
        <w:tc>
          <w:tcPr>
            <w:tcW w:w="992" w:type="dxa"/>
            <w:vAlign w:val="center"/>
          </w:tcPr>
          <w:p w14:paraId="46796DE1">
            <w:pPr>
              <w:pStyle w:val="14"/>
            </w:pPr>
            <w:r>
              <w:rPr>
                <w:rFonts w:ascii="宋体" w:hAnsi="宋体"/>
                <w:color w:val="000000" w:themeColor="text1"/>
                <w14:textFill>
                  <w14:solidFill>
                    <w14:schemeClr w14:val="tx1"/>
                  </w14:solidFill>
                </w14:textFill>
              </w:rPr>
              <w:t>√</w:t>
            </w:r>
          </w:p>
        </w:tc>
        <w:tc>
          <w:tcPr>
            <w:tcW w:w="992" w:type="dxa"/>
            <w:vAlign w:val="center"/>
          </w:tcPr>
          <w:p w14:paraId="3B79313F">
            <w:pPr>
              <w:pStyle w:val="14"/>
            </w:pPr>
          </w:p>
        </w:tc>
        <w:tc>
          <w:tcPr>
            <w:tcW w:w="1039" w:type="dxa"/>
            <w:vAlign w:val="center"/>
          </w:tcPr>
          <w:p w14:paraId="336315EE">
            <w:pPr>
              <w:pStyle w:val="14"/>
            </w:pPr>
            <w:r>
              <w:rPr>
                <w:rFonts w:ascii="宋体" w:hAnsi="宋体"/>
                <w:color w:val="000000" w:themeColor="text1"/>
                <w14:textFill>
                  <w14:solidFill>
                    <w14:schemeClr w14:val="tx1"/>
                  </w14:solidFill>
                </w14:textFill>
              </w:rPr>
              <w:t>√</w:t>
            </w:r>
          </w:p>
        </w:tc>
        <w:tc>
          <w:tcPr>
            <w:tcW w:w="1073" w:type="dxa"/>
            <w:vAlign w:val="center"/>
          </w:tcPr>
          <w:p w14:paraId="7B4D0F58">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56529289">
            <w:pPr>
              <w:pStyle w:val="14"/>
            </w:pPr>
          </w:p>
        </w:tc>
      </w:tr>
      <w:tr w14:paraId="14FF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17F53291">
            <w:pPr>
              <w:pStyle w:val="14"/>
              <w:widowControl w:val="0"/>
              <w:jc w:val="left"/>
            </w:pPr>
            <w:r>
              <w:rPr>
                <w:rFonts w:hint="eastAsia" w:ascii="宋体" w:hAnsi="宋体"/>
              </w:rPr>
              <w:t>第三单元</w:t>
            </w:r>
            <w:r>
              <w:t>Strategy</w:t>
            </w:r>
          </w:p>
        </w:tc>
        <w:tc>
          <w:tcPr>
            <w:tcW w:w="851" w:type="dxa"/>
            <w:vAlign w:val="center"/>
          </w:tcPr>
          <w:p w14:paraId="34A1A856">
            <w:pPr>
              <w:pStyle w:val="14"/>
            </w:pPr>
            <w:r>
              <w:rPr>
                <w:rFonts w:ascii="宋体" w:hAnsi="宋体"/>
                <w:color w:val="000000" w:themeColor="text1"/>
                <w14:textFill>
                  <w14:solidFill>
                    <w14:schemeClr w14:val="tx1"/>
                  </w14:solidFill>
                </w14:textFill>
              </w:rPr>
              <w:t>√</w:t>
            </w:r>
          </w:p>
        </w:tc>
        <w:tc>
          <w:tcPr>
            <w:tcW w:w="992" w:type="dxa"/>
            <w:vAlign w:val="center"/>
          </w:tcPr>
          <w:p w14:paraId="38C3C5E8">
            <w:pPr>
              <w:pStyle w:val="14"/>
            </w:pPr>
            <w:r>
              <w:rPr>
                <w:rFonts w:ascii="宋体" w:hAnsi="宋体"/>
                <w:color w:val="000000" w:themeColor="text1"/>
                <w14:textFill>
                  <w14:solidFill>
                    <w14:schemeClr w14:val="tx1"/>
                  </w14:solidFill>
                </w14:textFill>
              </w:rPr>
              <w:t>√</w:t>
            </w:r>
          </w:p>
        </w:tc>
        <w:tc>
          <w:tcPr>
            <w:tcW w:w="992" w:type="dxa"/>
            <w:vAlign w:val="center"/>
          </w:tcPr>
          <w:p w14:paraId="498C26E1">
            <w:pPr>
              <w:pStyle w:val="14"/>
            </w:pPr>
            <w:r>
              <w:rPr>
                <w:rFonts w:ascii="宋体" w:hAnsi="宋体"/>
                <w:color w:val="000000" w:themeColor="text1"/>
                <w14:textFill>
                  <w14:solidFill>
                    <w14:schemeClr w14:val="tx1"/>
                  </w14:solidFill>
                </w14:textFill>
              </w:rPr>
              <w:t>√</w:t>
            </w:r>
          </w:p>
        </w:tc>
        <w:tc>
          <w:tcPr>
            <w:tcW w:w="1039" w:type="dxa"/>
            <w:vAlign w:val="center"/>
          </w:tcPr>
          <w:p w14:paraId="20BC5829">
            <w:pPr>
              <w:pStyle w:val="14"/>
            </w:pPr>
            <w:r>
              <w:rPr>
                <w:rFonts w:ascii="宋体" w:hAnsi="宋体"/>
                <w:color w:val="000000" w:themeColor="text1"/>
                <w14:textFill>
                  <w14:solidFill>
                    <w14:schemeClr w14:val="tx1"/>
                  </w14:solidFill>
                </w14:textFill>
              </w:rPr>
              <w:t>√</w:t>
            </w:r>
          </w:p>
        </w:tc>
        <w:tc>
          <w:tcPr>
            <w:tcW w:w="1073" w:type="dxa"/>
            <w:vAlign w:val="center"/>
          </w:tcPr>
          <w:p w14:paraId="748EEF3D">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2A7CE8E7">
            <w:pPr>
              <w:pStyle w:val="14"/>
            </w:pPr>
          </w:p>
        </w:tc>
      </w:tr>
      <w:tr w14:paraId="271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30E558BD">
            <w:pPr>
              <w:pStyle w:val="14"/>
              <w:widowControl w:val="0"/>
              <w:jc w:val="left"/>
            </w:pPr>
            <w:r>
              <w:rPr>
                <w:rFonts w:hint="eastAsia" w:ascii="宋体" w:hAnsi="宋体"/>
              </w:rPr>
              <w:t>第四单元</w:t>
            </w:r>
            <w:r>
              <w:t>Pay</w:t>
            </w:r>
          </w:p>
        </w:tc>
        <w:tc>
          <w:tcPr>
            <w:tcW w:w="851" w:type="dxa"/>
            <w:vAlign w:val="center"/>
          </w:tcPr>
          <w:p w14:paraId="698A1510">
            <w:pPr>
              <w:pStyle w:val="14"/>
            </w:pPr>
            <w:r>
              <w:rPr>
                <w:rFonts w:ascii="宋体" w:hAnsi="宋体"/>
                <w:color w:val="000000" w:themeColor="text1"/>
                <w14:textFill>
                  <w14:solidFill>
                    <w14:schemeClr w14:val="tx1"/>
                  </w14:solidFill>
                </w14:textFill>
              </w:rPr>
              <w:t>√</w:t>
            </w:r>
          </w:p>
        </w:tc>
        <w:tc>
          <w:tcPr>
            <w:tcW w:w="992" w:type="dxa"/>
            <w:vAlign w:val="center"/>
          </w:tcPr>
          <w:p w14:paraId="7156EECF">
            <w:pPr>
              <w:pStyle w:val="14"/>
            </w:pPr>
            <w:r>
              <w:rPr>
                <w:rFonts w:ascii="宋体" w:hAnsi="宋体"/>
                <w:color w:val="000000" w:themeColor="text1"/>
                <w14:textFill>
                  <w14:solidFill>
                    <w14:schemeClr w14:val="tx1"/>
                  </w14:solidFill>
                </w14:textFill>
              </w:rPr>
              <w:t>√</w:t>
            </w:r>
          </w:p>
        </w:tc>
        <w:tc>
          <w:tcPr>
            <w:tcW w:w="992" w:type="dxa"/>
            <w:vAlign w:val="center"/>
          </w:tcPr>
          <w:p w14:paraId="2F147FE6">
            <w:pPr>
              <w:pStyle w:val="14"/>
            </w:pPr>
          </w:p>
        </w:tc>
        <w:tc>
          <w:tcPr>
            <w:tcW w:w="1039" w:type="dxa"/>
            <w:vAlign w:val="center"/>
          </w:tcPr>
          <w:p w14:paraId="407B6868">
            <w:pPr>
              <w:pStyle w:val="14"/>
            </w:pPr>
          </w:p>
        </w:tc>
        <w:tc>
          <w:tcPr>
            <w:tcW w:w="1073" w:type="dxa"/>
            <w:vAlign w:val="center"/>
          </w:tcPr>
          <w:p w14:paraId="59612D0E">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000A52AC">
            <w:pPr>
              <w:pStyle w:val="14"/>
            </w:pPr>
          </w:p>
        </w:tc>
      </w:tr>
      <w:tr w14:paraId="662F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038C5D1F">
            <w:pPr>
              <w:pStyle w:val="14"/>
              <w:widowControl w:val="0"/>
              <w:jc w:val="left"/>
            </w:pPr>
            <w:r>
              <w:rPr>
                <w:rFonts w:hint="eastAsia" w:ascii="宋体" w:hAnsi="宋体"/>
              </w:rPr>
              <w:t>第五单</w:t>
            </w:r>
            <w:r>
              <w:t>Development</w:t>
            </w:r>
          </w:p>
        </w:tc>
        <w:tc>
          <w:tcPr>
            <w:tcW w:w="851" w:type="dxa"/>
            <w:vAlign w:val="center"/>
          </w:tcPr>
          <w:p w14:paraId="3ADD1F1E">
            <w:pPr>
              <w:pStyle w:val="14"/>
            </w:pPr>
            <w:r>
              <w:rPr>
                <w:rFonts w:ascii="宋体" w:hAnsi="宋体"/>
                <w:color w:val="000000" w:themeColor="text1"/>
                <w14:textFill>
                  <w14:solidFill>
                    <w14:schemeClr w14:val="tx1"/>
                  </w14:solidFill>
                </w14:textFill>
              </w:rPr>
              <w:t>√</w:t>
            </w:r>
          </w:p>
        </w:tc>
        <w:tc>
          <w:tcPr>
            <w:tcW w:w="992" w:type="dxa"/>
            <w:vAlign w:val="center"/>
          </w:tcPr>
          <w:p w14:paraId="4FFF85DC">
            <w:pPr>
              <w:pStyle w:val="14"/>
            </w:pPr>
            <w:r>
              <w:rPr>
                <w:rFonts w:ascii="宋体" w:hAnsi="宋体"/>
                <w:color w:val="000000" w:themeColor="text1"/>
                <w14:textFill>
                  <w14:solidFill>
                    <w14:schemeClr w14:val="tx1"/>
                  </w14:solidFill>
                </w14:textFill>
              </w:rPr>
              <w:t>√</w:t>
            </w:r>
          </w:p>
        </w:tc>
        <w:tc>
          <w:tcPr>
            <w:tcW w:w="992" w:type="dxa"/>
            <w:vAlign w:val="center"/>
          </w:tcPr>
          <w:p w14:paraId="18BF1919">
            <w:pPr>
              <w:pStyle w:val="14"/>
            </w:pPr>
          </w:p>
        </w:tc>
        <w:tc>
          <w:tcPr>
            <w:tcW w:w="1039" w:type="dxa"/>
            <w:vAlign w:val="center"/>
          </w:tcPr>
          <w:p w14:paraId="76329531">
            <w:pPr>
              <w:pStyle w:val="14"/>
            </w:pPr>
          </w:p>
        </w:tc>
        <w:tc>
          <w:tcPr>
            <w:tcW w:w="1073" w:type="dxa"/>
            <w:vAlign w:val="center"/>
          </w:tcPr>
          <w:p w14:paraId="0D927316">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4655D740">
            <w:pPr>
              <w:pStyle w:val="14"/>
            </w:pPr>
          </w:p>
        </w:tc>
      </w:tr>
      <w:tr w14:paraId="6D52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4BD8A09A">
            <w:pPr>
              <w:pStyle w:val="14"/>
              <w:jc w:val="left"/>
              <w:rPr>
                <w:rFonts w:cs="Times New Roman"/>
              </w:rPr>
            </w:pPr>
            <w:r>
              <w:rPr>
                <w:rFonts w:hint="eastAsia" w:ascii="宋体" w:hAnsi="宋体"/>
              </w:rPr>
              <w:t>第六单元</w:t>
            </w:r>
            <w:r>
              <w:t>Marketing</w:t>
            </w:r>
          </w:p>
        </w:tc>
        <w:tc>
          <w:tcPr>
            <w:tcW w:w="851" w:type="dxa"/>
            <w:vAlign w:val="center"/>
          </w:tcPr>
          <w:p w14:paraId="5096095D">
            <w:pPr>
              <w:pStyle w:val="14"/>
            </w:pPr>
            <w:r>
              <w:rPr>
                <w:rFonts w:ascii="宋体" w:hAnsi="宋体"/>
                <w:color w:val="000000" w:themeColor="text1"/>
                <w14:textFill>
                  <w14:solidFill>
                    <w14:schemeClr w14:val="tx1"/>
                  </w14:solidFill>
                </w14:textFill>
              </w:rPr>
              <w:t>√</w:t>
            </w:r>
          </w:p>
        </w:tc>
        <w:tc>
          <w:tcPr>
            <w:tcW w:w="992" w:type="dxa"/>
            <w:vAlign w:val="center"/>
          </w:tcPr>
          <w:p w14:paraId="26F21153">
            <w:pPr>
              <w:pStyle w:val="14"/>
            </w:pPr>
            <w:r>
              <w:rPr>
                <w:rFonts w:ascii="宋体" w:hAnsi="宋体"/>
                <w:color w:val="000000" w:themeColor="text1"/>
                <w14:textFill>
                  <w14:solidFill>
                    <w14:schemeClr w14:val="tx1"/>
                  </w14:solidFill>
                </w14:textFill>
              </w:rPr>
              <w:t>√</w:t>
            </w:r>
          </w:p>
        </w:tc>
        <w:tc>
          <w:tcPr>
            <w:tcW w:w="992" w:type="dxa"/>
            <w:vAlign w:val="center"/>
          </w:tcPr>
          <w:p w14:paraId="2F8F5D24">
            <w:pPr>
              <w:pStyle w:val="14"/>
            </w:pPr>
            <w:r>
              <w:rPr>
                <w:rFonts w:ascii="宋体" w:hAnsi="宋体"/>
                <w:color w:val="000000" w:themeColor="text1"/>
                <w14:textFill>
                  <w14:solidFill>
                    <w14:schemeClr w14:val="tx1"/>
                  </w14:solidFill>
                </w14:textFill>
              </w:rPr>
              <w:t>√</w:t>
            </w:r>
          </w:p>
        </w:tc>
        <w:tc>
          <w:tcPr>
            <w:tcW w:w="1039" w:type="dxa"/>
            <w:vAlign w:val="center"/>
          </w:tcPr>
          <w:p w14:paraId="29F50C90">
            <w:pPr>
              <w:pStyle w:val="14"/>
            </w:pPr>
          </w:p>
        </w:tc>
        <w:tc>
          <w:tcPr>
            <w:tcW w:w="1073" w:type="dxa"/>
            <w:vAlign w:val="center"/>
          </w:tcPr>
          <w:p w14:paraId="38EFCC07">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6272E89B">
            <w:pPr>
              <w:pStyle w:val="14"/>
            </w:pPr>
          </w:p>
        </w:tc>
      </w:tr>
      <w:tr w14:paraId="0B2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0D637B6F">
            <w:pPr>
              <w:pStyle w:val="14"/>
              <w:widowControl w:val="0"/>
              <w:jc w:val="left"/>
            </w:pPr>
            <w:r>
              <w:rPr>
                <w:rFonts w:hint="eastAsia" w:ascii="宋体" w:hAnsi="宋体"/>
              </w:rPr>
              <w:t>第七单元</w:t>
            </w:r>
            <w:r>
              <w:rPr>
                <w:rFonts w:cs="Times New Roman"/>
              </w:rPr>
              <w:t>Outsourcing</w:t>
            </w:r>
          </w:p>
        </w:tc>
        <w:tc>
          <w:tcPr>
            <w:tcW w:w="851" w:type="dxa"/>
            <w:vAlign w:val="center"/>
          </w:tcPr>
          <w:p w14:paraId="3C8311D7">
            <w:pPr>
              <w:pStyle w:val="14"/>
            </w:pPr>
            <w:r>
              <w:rPr>
                <w:rFonts w:ascii="宋体" w:hAnsi="宋体"/>
                <w:color w:val="000000" w:themeColor="text1"/>
                <w14:textFill>
                  <w14:solidFill>
                    <w14:schemeClr w14:val="tx1"/>
                  </w14:solidFill>
                </w14:textFill>
              </w:rPr>
              <w:t>√</w:t>
            </w:r>
          </w:p>
        </w:tc>
        <w:tc>
          <w:tcPr>
            <w:tcW w:w="992" w:type="dxa"/>
            <w:vAlign w:val="center"/>
          </w:tcPr>
          <w:p w14:paraId="0B5027A5">
            <w:pPr>
              <w:pStyle w:val="14"/>
            </w:pPr>
            <w:r>
              <w:rPr>
                <w:rFonts w:ascii="宋体" w:hAnsi="宋体"/>
                <w:color w:val="000000" w:themeColor="text1"/>
                <w14:textFill>
                  <w14:solidFill>
                    <w14:schemeClr w14:val="tx1"/>
                  </w14:solidFill>
                </w14:textFill>
              </w:rPr>
              <w:t>√</w:t>
            </w:r>
          </w:p>
        </w:tc>
        <w:tc>
          <w:tcPr>
            <w:tcW w:w="992" w:type="dxa"/>
            <w:vAlign w:val="center"/>
          </w:tcPr>
          <w:p w14:paraId="1D0DA3CF">
            <w:pPr>
              <w:pStyle w:val="14"/>
            </w:pPr>
          </w:p>
        </w:tc>
        <w:tc>
          <w:tcPr>
            <w:tcW w:w="1039" w:type="dxa"/>
            <w:vAlign w:val="center"/>
          </w:tcPr>
          <w:p w14:paraId="2F51FEE3">
            <w:pPr>
              <w:pStyle w:val="14"/>
            </w:pPr>
          </w:p>
        </w:tc>
        <w:tc>
          <w:tcPr>
            <w:tcW w:w="1073" w:type="dxa"/>
            <w:vAlign w:val="center"/>
          </w:tcPr>
          <w:p w14:paraId="77AC1743">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20056C83">
            <w:pPr>
              <w:pStyle w:val="14"/>
            </w:pPr>
          </w:p>
        </w:tc>
      </w:tr>
      <w:tr w14:paraId="4C83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253" w:type="dxa"/>
            <w:tcBorders>
              <w:left w:val="single" w:color="auto" w:sz="12" w:space="0"/>
            </w:tcBorders>
          </w:tcPr>
          <w:p w14:paraId="7F525DD7">
            <w:pPr>
              <w:pStyle w:val="14"/>
              <w:widowControl w:val="0"/>
              <w:jc w:val="left"/>
            </w:pPr>
            <w:r>
              <w:rPr>
                <w:rFonts w:hint="eastAsia" w:ascii="宋体" w:hAnsi="宋体"/>
              </w:rPr>
              <w:t>第八单元</w:t>
            </w:r>
            <w:r>
              <w:t>Finance</w:t>
            </w:r>
          </w:p>
        </w:tc>
        <w:tc>
          <w:tcPr>
            <w:tcW w:w="851" w:type="dxa"/>
            <w:vAlign w:val="center"/>
          </w:tcPr>
          <w:p w14:paraId="15E6F22D">
            <w:pPr>
              <w:pStyle w:val="14"/>
            </w:pPr>
            <w:r>
              <w:rPr>
                <w:rFonts w:ascii="宋体" w:hAnsi="宋体"/>
                <w:color w:val="000000" w:themeColor="text1"/>
                <w14:textFill>
                  <w14:solidFill>
                    <w14:schemeClr w14:val="tx1"/>
                  </w14:solidFill>
                </w14:textFill>
              </w:rPr>
              <w:t>√</w:t>
            </w:r>
          </w:p>
        </w:tc>
        <w:tc>
          <w:tcPr>
            <w:tcW w:w="992" w:type="dxa"/>
            <w:vAlign w:val="center"/>
          </w:tcPr>
          <w:p w14:paraId="57E55F92">
            <w:pPr>
              <w:pStyle w:val="14"/>
            </w:pPr>
            <w:r>
              <w:rPr>
                <w:rFonts w:ascii="宋体" w:hAnsi="宋体"/>
                <w:color w:val="000000" w:themeColor="text1"/>
                <w14:textFill>
                  <w14:solidFill>
                    <w14:schemeClr w14:val="tx1"/>
                  </w14:solidFill>
                </w14:textFill>
              </w:rPr>
              <w:t>√</w:t>
            </w:r>
          </w:p>
        </w:tc>
        <w:tc>
          <w:tcPr>
            <w:tcW w:w="992" w:type="dxa"/>
            <w:vAlign w:val="center"/>
          </w:tcPr>
          <w:p w14:paraId="159038DC">
            <w:pPr>
              <w:pStyle w:val="14"/>
            </w:pPr>
            <w:r>
              <w:rPr>
                <w:rFonts w:ascii="宋体" w:hAnsi="宋体"/>
                <w:color w:val="000000" w:themeColor="text1"/>
                <w14:textFill>
                  <w14:solidFill>
                    <w14:schemeClr w14:val="tx1"/>
                  </w14:solidFill>
                </w14:textFill>
              </w:rPr>
              <w:t>√</w:t>
            </w:r>
          </w:p>
        </w:tc>
        <w:tc>
          <w:tcPr>
            <w:tcW w:w="1039" w:type="dxa"/>
            <w:vAlign w:val="center"/>
          </w:tcPr>
          <w:p w14:paraId="58E21B13">
            <w:pPr>
              <w:pStyle w:val="14"/>
            </w:pPr>
          </w:p>
        </w:tc>
        <w:tc>
          <w:tcPr>
            <w:tcW w:w="1073" w:type="dxa"/>
            <w:vAlign w:val="center"/>
          </w:tcPr>
          <w:p w14:paraId="753588DB">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21D03B69">
            <w:pPr>
              <w:pStyle w:val="14"/>
            </w:pPr>
          </w:p>
        </w:tc>
      </w:tr>
      <w:tr w14:paraId="07F6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7E83D771">
            <w:pPr>
              <w:pStyle w:val="14"/>
              <w:widowControl w:val="0"/>
              <w:jc w:val="left"/>
            </w:pPr>
            <w:r>
              <w:rPr>
                <w:rFonts w:hint="eastAsia" w:ascii="宋体" w:hAnsi="宋体"/>
              </w:rPr>
              <w:t>第九单元</w:t>
            </w:r>
            <w:r>
              <w:t>Recruitment</w:t>
            </w:r>
          </w:p>
        </w:tc>
        <w:tc>
          <w:tcPr>
            <w:tcW w:w="851" w:type="dxa"/>
            <w:vAlign w:val="center"/>
          </w:tcPr>
          <w:p w14:paraId="22ED02C3">
            <w:pPr>
              <w:pStyle w:val="14"/>
            </w:pPr>
            <w:r>
              <w:rPr>
                <w:rFonts w:ascii="宋体" w:hAnsi="宋体"/>
                <w:color w:val="000000" w:themeColor="text1"/>
                <w14:textFill>
                  <w14:solidFill>
                    <w14:schemeClr w14:val="tx1"/>
                  </w14:solidFill>
                </w14:textFill>
              </w:rPr>
              <w:t>√</w:t>
            </w:r>
          </w:p>
        </w:tc>
        <w:tc>
          <w:tcPr>
            <w:tcW w:w="992" w:type="dxa"/>
            <w:vAlign w:val="center"/>
          </w:tcPr>
          <w:p w14:paraId="798FBE4A">
            <w:pPr>
              <w:pStyle w:val="14"/>
            </w:pPr>
            <w:r>
              <w:rPr>
                <w:rFonts w:ascii="宋体" w:hAnsi="宋体"/>
                <w:color w:val="000000" w:themeColor="text1"/>
                <w14:textFill>
                  <w14:solidFill>
                    <w14:schemeClr w14:val="tx1"/>
                  </w14:solidFill>
                </w14:textFill>
              </w:rPr>
              <w:t>√</w:t>
            </w:r>
          </w:p>
        </w:tc>
        <w:tc>
          <w:tcPr>
            <w:tcW w:w="992" w:type="dxa"/>
            <w:vAlign w:val="center"/>
          </w:tcPr>
          <w:p w14:paraId="1A8419B7">
            <w:pPr>
              <w:pStyle w:val="14"/>
            </w:pPr>
            <w:r>
              <w:rPr>
                <w:rFonts w:ascii="宋体" w:hAnsi="宋体"/>
                <w:color w:val="000000" w:themeColor="text1"/>
                <w14:textFill>
                  <w14:solidFill>
                    <w14:schemeClr w14:val="tx1"/>
                  </w14:solidFill>
                </w14:textFill>
              </w:rPr>
              <w:t>√</w:t>
            </w:r>
          </w:p>
        </w:tc>
        <w:tc>
          <w:tcPr>
            <w:tcW w:w="1039" w:type="dxa"/>
            <w:vAlign w:val="center"/>
          </w:tcPr>
          <w:p w14:paraId="58DB4CA2">
            <w:pPr>
              <w:pStyle w:val="14"/>
            </w:pPr>
          </w:p>
        </w:tc>
        <w:tc>
          <w:tcPr>
            <w:tcW w:w="1073" w:type="dxa"/>
            <w:vAlign w:val="center"/>
          </w:tcPr>
          <w:p w14:paraId="7017C3CE">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5ABFB7AF">
            <w:pPr>
              <w:pStyle w:val="14"/>
            </w:pPr>
          </w:p>
        </w:tc>
      </w:tr>
      <w:tr w14:paraId="12FE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253" w:type="dxa"/>
            <w:tcBorders>
              <w:left w:val="single" w:color="auto" w:sz="12" w:space="0"/>
            </w:tcBorders>
          </w:tcPr>
          <w:p w14:paraId="1D45D631">
            <w:pPr>
              <w:pStyle w:val="14"/>
              <w:widowControl w:val="0"/>
              <w:jc w:val="left"/>
            </w:pPr>
            <w:r>
              <w:rPr>
                <w:rFonts w:hint="eastAsia" w:ascii="宋体" w:hAnsi="宋体"/>
              </w:rPr>
              <w:t xml:space="preserve">第十单 </w:t>
            </w:r>
            <w:r>
              <w:rPr>
                <w:rFonts w:cs="Times New Roman"/>
              </w:rPr>
              <w:t>Counterfeiting</w:t>
            </w:r>
          </w:p>
        </w:tc>
        <w:tc>
          <w:tcPr>
            <w:tcW w:w="851" w:type="dxa"/>
            <w:vAlign w:val="center"/>
          </w:tcPr>
          <w:p w14:paraId="1B36E826">
            <w:pPr>
              <w:pStyle w:val="14"/>
            </w:pPr>
            <w:r>
              <w:rPr>
                <w:rFonts w:ascii="宋体" w:hAnsi="宋体"/>
                <w:color w:val="000000" w:themeColor="text1"/>
                <w14:textFill>
                  <w14:solidFill>
                    <w14:schemeClr w14:val="tx1"/>
                  </w14:solidFill>
                </w14:textFill>
              </w:rPr>
              <w:t>√</w:t>
            </w:r>
          </w:p>
        </w:tc>
        <w:tc>
          <w:tcPr>
            <w:tcW w:w="992" w:type="dxa"/>
            <w:vAlign w:val="center"/>
          </w:tcPr>
          <w:p w14:paraId="2474C52F">
            <w:pPr>
              <w:pStyle w:val="14"/>
            </w:pPr>
            <w:r>
              <w:rPr>
                <w:rFonts w:ascii="宋体" w:hAnsi="宋体"/>
                <w:color w:val="000000" w:themeColor="text1"/>
                <w14:textFill>
                  <w14:solidFill>
                    <w14:schemeClr w14:val="tx1"/>
                  </w14:solidFill>
                </w14:textFill>
              </w:rPr>
              <w:t>√</w:t>
            </w:r>
          </w:p>
        </w:tc>
        <w:tc>
          <w:tcPr>
            <w:tcW w:w="992" w:type="dxa"/>
            <w:vAlign w:val="center"/>
          </w:tcPr>
          <w:p w14:paraId="2EBD6B93">
            <w:pPr>
              <w:pStyle w:val="14"/>
            </w:pPr>
          </w:p>
        </w:tc>
        <w:tc>
          <w:tcPr>
            <w:tcW w:w="1039" w:type="dxa"/>
            <w:vAlign w:val="center"/>
          </w:tcPr>
          <w:p w14:paraId="33D4B587">
            <w:pPr>
              <w:pStyle w:val="14"/>
            </w:pPr>
            <w:r>
              <w:rPr>
                <w:rFonts w:ascii="宋体" w:hAnsi="宋体"/>
                <w:color w:val="000000" w:themeColor="text1"/>
                <w14:textFill>
                  <w14:solidFill>
                    <w14:schemeClr w14:val="tx1"/>
                  </w14:solidFill>
                </w14:textFill>
              </w:rPr>
              <w:t>√</w:t>
            </w:r>
          </w:p>
        </w:tc>
        <w:tc>
          <w:tcPr>
            <w:tcW w:w="1073" w:type="dxa"/>
            <w:vAlign w:val="center"/>
          </w:tcPr>
          <w:p w14:paraId="0244CEB1">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24BA1D31">
            <w:pPr>
              <w:pStyle w:val="14"/>
            </w:pPr>
          </w:p>
        </w:tc>
      </w:tr>
      <w:tr w14:paraId="496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2253" w:type="dxa"/>
            <w:tcBorders>
              <w:left w:val="single" w:color="auto" w:sz="12" w:space="0"/>
              <w:bottom w:val="single" w:color="auto" w:sz="12" w:space="0"/>
            </w:tcBorders>
          </w:tcPr>
          <w:p w14:paraId="75636C6E">
            <w:pPr>
              <w:pStyle w:val="14"/>
              <w:widowControl w:val="0"/>
              <w:jc w:val="left"/>
              <w:rPr>
                <w:rFonts w:ascii="宋体" w:hAnsi="宋体"/>
              </w:rPr>
            </w:pPr>
            <w:r>
              <w:rPr>
                <w:rFonts w:hint="eastAsia" w:ascii="宋体" w:hAnsi="宋体"/>
              </w:rPr>
              <w:t>第十一单元</w:t>
            </w:r>
          </w:p>
          <w:p w14:paraId="10F68F15">
            <w:pPr>
              <w:pStyle w:val="14"/>
              <w:widowControl w:val="0"/>
              <w:jc w:val="left"/>
              <w:rPr>
                <w:rFonts w:cs="Times New Roman"/>
              </w:rPr>
            </w:pPr>
            <w:r>
              <w:rPr>
                <w:rFonts w:hint="eastAsia" w:cs="Times New Roman"/>
              </w:rPr>
              <w:t>Group</w:t>
            </w:r>
            <w:r>
              <w:rPr>
                <w:rFonts w:cs="Times New Roman"/>
              </w:rPr>
              <w:t xml:space="preserve"> </w:t>
            </w:r>
            <w:r>
              <w:rPr>
                <w:rFonts w:hint="eastAsia" w:cs="Times New Roman"/>
              </w:rPr>
              <w:t>Project</w:t>
            </w:r>
          </w:p>
        </w:tc>
        <w:tc>
          <w:tcPr>
            <w:tcW w:w="851" w:type="dxa"/>
            <w:tcBorders>
              <w:bottom w:val="single" w:color="auto" w:sz="12" w:space="0"/>
            </w:tcBorders>
            <w:vAlign w:val="center"/>
          </w:tcPr>
          <w:p w14:paraId="5DDBD4A5">
            <w:pPr>
              <w:pStyle w:val="14"/>
            </w:pPr>
            <w:r>
              <w:rPr>
                <w:rFonts w:ascii="宋体" w:hAnsi="宋体"/>
                <w:color w:val="000000" w:themeColor="text1"/>
                <w14:textFill>
                  <w14:solidFill>
                    <w14:schemeClr w14:val="tx1"/>
                  </w14:solidFill>
                </w14:textFill>
              </w:rPr>
              <w:t>√</w:t>
            </w:r>
          </w:p>
        </w:tc>
        <w:tc>
          <w:tcPr>
            <w:tcW w:w="992" w:type="dxa"/>
            <w:tcBorders>
              <w:bottom w:val="single" w:color="auto" w:sz="12" w:space="0"/>
            </w:tcBorders>
            <w:vAlign w:val="center"/>
          </w:tcPr>
          <w:p w14:paraId="5579AABC">
            <w:pPr>
              <w:pStyle w:val="14"/>
            </w:pPr>
            <w:r>
              <w:rPr>
                <w:rFonts w:ascii="宋体" w:hAnsi="宋体"/>
                <w:color w:val="000000" w:themeColor="text1"/>
                <w14:textFill>
                  <w14:solidFill>
                    <w14:schemeClr w14:val="tx1"/>
                  </w14:solidFill>
                </w14:textFill>
              </w:rPr>
              <w:t>√</w:t>
            </w:r>
          </w:p>
        </w:tc>
        <w:tc>
          <w:tcPr>
            <w:tcW w:w="992" w:type="dxa"/>
            <w:tcBorders>
              <w:bottom w:val="single" w:color="auto" w:sz="12" w:space="0"/>
            </w:tcBorders>
            <w:vAlign w:val="center"/>
          </w:tcPr>
          <w:p w14:paraId="3797E49C">
            <w:pPr>
              <w:pStyle w:val="14"/>
            </w:pPr>
            <w:r>
              <w:rPr>
                <w:rFonts w:ascii="宋体" w:hAnsi="宋体"/>
                <w:color w:val="000000" w:themeColor="text1"/>
                <w14:textFill>
                  <w14:solidFill>
                    <w14:schemeClr w14:val="tx1"/>
                  </w14:solidFill>
                </w14:textFill>
              </w:rPr>
              <w:t>√</w:t>
            </w:r>
          </w:p>
        </w:tc>
        <w:tc>
          <w:tcPr>
            <w:tcW w:w="1039" w:type="dxa"/>
            <w:tcBorders>
              <w:bottom w:val="single" w:color="auto" w:sz="12" w:space="0"/>
            </w:tcBorders>
            <w:vAlign w:val="center"/>
          </w:tcPr>
          <w:p w14:paraId="592A073E">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3C64B5CF">
            <w:pPr>
              <w:pStyle w:val="14"/>
            </w:pPr>
            <w:r>
              <w:rPr>
                <w:rFonts w:ascii="宋体" w:hAnsi="宋体"/>
                <w:color w:val="000000" w:themeColor="text1"/>
                <w14:textFill>
                  <w14:solidFill>
                    <w14:schemeClr w14:val="tx1"/>
                  </w14:solidFill>
                </w14:textFill>
              </w:rPr>
              <w:t>√</w:t>
            </w:r>
          </w:p>
        </w:tc>
        <w:tc>
          <w:tcPr>
            <w:tcW w:w="910" w:type="dxa"/>
            <w:tcBorders>
              <w:bottom w:val="single" w:color="auto" w:sz="12" w:space="0"/>
              <w:right w:val="single" w:color="auto" w:sz="12" w:space="0"/>
            </w:tcBorders>
            <w:vAlign w:val="center"/>
          </w:tcPr>
          <w:p w14:paraId="7E9F8955">
            <w:pPr>
              <w:pStyle w:val="14"/>
            </w:pPr>
          </w:p>
        </w:tc>
      </w:tr>
    </w:tbl>
    <w:p w14:paraId="2E6F41EE">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D8A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7D411E3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6317DF2">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3B995E3">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1B811AA">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647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415DEE54">
            <w:pPr>
              <w:widowControl w:val="0"/>
              <w:snapToGrid w:val="0"/>
              <w:jc w:val="center"/>
              <w:rPr>
                <w:rFonts w:ascii="黑体" w:hAnsi="黑体" w:eastAsia="黑体"/>
                <w:bCs/>
                <w:sz w:val="21"/>
                <w:szCs w:val="21"/>
              </w:rPr>
            </w:pPr>
          </w:p>
        </w:tc>
        <w:tc>
          <w:tcPr>
            <w:tcW w:w="2755" w:type="dxa"/>
            <w:vMerge w:val="continue"/>
          </w:tcPr>
          <w:p w14:paraId="4B8CE9F3">
            <w:pPr>
              <w:widowControl w:val="0"/>
              <w:snapToGrid w:val="0"/>
              <w:jc w:val="center"/>
              <w:rPr>
                <w:rFonts w:ascii="黑体" w:hAnsi="黑体" w:eastAsia="黑体"/>
                <w:bCs/>
                <w:sz w:val="21"/>
                <w:szCs w:val="21"/>
              </w:rPr>
            </w:pPr>
          </w:p>
        </w:tc>
        <w:tc>
          <w:tcPr>
            <w:tcW w:w="1738" w:type="dxa"/>
            <w:vMerge w:val="continue"/>
          </w:tcPr>
          <w:p w14:paraId="77F7FC85">
            <w:pPr>
              <w:widowControl w:val="0"/>
              <w:snapToGrid w:val="0"/>
              <w:jc w:val="center"/>
              <w:rPr>
                <w:rFonts w:ascii="黑体" w:hAnsi="黑体" w:eastAsia="黑体"/>
                <w:bCs/>
                <w:sz w:val="21"/>
                <w:szCs w:val="21"/>
              </w:rPr>
            </w:pPr>
          </w:p>
        </w:tc>
        <w:tc>
          <w:tcPr>
            <w:tcW w:w="725" w:type="dxa"/>
            <w:vAlign w:val="center"/>
          </w:tcPr>
          <w:p w14:paraId="7F9F741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334DD3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E163DA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1AF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72434D6D">
            <w:pPr>
              <w:pStyle w:val="14"/>
              <w:widowControl w:val="0"/>
              <w:jc w:val="left"/>
              <w:rPr>
                <w:rFonts w:ascii="宋体" w:hAnsi="宋体"/>
                <w:bCs/>
              </w:rPr>
            </w:pPr>
            <w:r>
              <w:rPr>
                <w:rFonts w:hint="eastAsia" w:ascii="宋体" w:hAnsi="宋体"/>
                <w:bCs/>
              </w:rPr>
              <w:t>第一单元</w:t>
            </w:r>
          </w:p>
          <w:p w14:paraId="3E7D38A4">
            <w:pPr>
              <w:pStyle w:val="14"/>
              <w:widowControl w:val="0"/>
              <w:jc w:val="left"/>
              <w:rPr>
                <w:bCs/>
              </w:rPr>
            </w:pPr>
            <w:r>
              <w:rPr>
                <w:bCs/>
              </w:rPr>
              <w:t>Companie</w:t>
            </w:r>
            <w:r>
              <w:rPr>
                <w:rFonts w:cs="Times New Roman"/>
                <w:bCs/>
              </w:rPr>
              <w:t>s</w:t>
            </w:r>
          </w:p>
        </w:tc>
        <w:tc>
          <w:tcPr>
            <w:tcW w:w="2755" w:type="dxa"/>
            <w:vAlign w:val="center"/>
          </w:tcPr>
          <w:p w14:paraId="64F2BBD3">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4F1C7C19">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12D19AE2">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69" w:type="dxa"/>
            <w:vAlign w:val="center"/>
          </w:tcPr>
          <w:p w14:paraId="0E2F94B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5269D8D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F6B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29725C9A">
            <w:pPr>
              <w:pStyle w:val="14"/>
              <w:widowControl w:val="0"/>
              <w:jc w:val="left"/>
              <w:rPr>
                <w:rFonts w:cs="Times New Roman"/>
              </w:rPr>
            </w:pPr>
            <w:r>
              <w:rPr>
                <w:rFonts w:hint="eastAsia" w:ascii="宋体" w:hAnsi="宋体"/>
              </w:rPr>
              <w:t>第二单元</w:t>
            </w:r>
            <w:r>
              <w:rPr>
                <w:rFonts w:cs="Times New Roman"/>
              </w:rPr>
              <w:t xml:space="preserve"> </w:t>
            </w:r>
          </w:p>
          <w:p w14:paraId="12262BED">
            <w:pPr>
              <w:pStyle w:val="14"/>
              <w:widowControl w:val="0"/>
              <w:jc w:val="left"/>
              <w:rPr>
                <w:bCs/>
              </w:rPr>
            </w:pPr>
            <w:r>
              <w:rPr>
                <w:rFonts w:cs="Times New Roman"/>
              </w:rPr>
              <w:t>Leadership</w:t>
            </w:r>
          </w:p>
        </w:tc>
        <w:tc>
          <w:tcPr>
            <w:tcW w:w="2755" w:type="dxa"/>
            <w:vAlign w:val="center"/>
          </w:tcPr>
          <w:p w14:paraId="5D6FEE06">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2A0B4E99">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0ED305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07653F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67EF43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E1D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6196EBD">
            <w:pPr>
              <w:pStyle w:val="14"/>
              <w:widowControl w:val="0"/>
              <w:jc w:val="left"/>
              <w:rPr>
                <w:rFonts w:ascii="宋体" w:hAnsi="宋体"/>
              </w:rPr>
            </w:pPr>
            <w:r>
              <w:rPr>
                <w:rFonts w:hint="eastAsia" w:ascii="宋体" w:hAnsi="宋体"/>
              </w:rPr>
              <w:t xml:space="preserve">第三单元 </w:t>
            </w:r>
          </w:p>
          <w:p w14:paraId="44D45CF2">
            <w:pPr>
              <w:pStyle w:val="14"/>
              <w:widowControl w:val="0"/>
              <w:jc w:val="left"/>
              <w:rPr>
                <w:bCs/>
              </w:rPr>
            </w:pPr>
            <w:r>
              <w:t>Strategy</w:t>
            </w:r>
          </w:p>
        </w:tc>
        <w:tc>
          <w:tcPr>
            <w:tcW w:w="2755" w:type="dxa"/>
            <w:vAlign w:val="center"/>
          </w:tcPr>
          <w:p w14:paraId="21FE9166">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3E1CB598">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6E6F634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69" w:type="dxa"/>
            <w:vAlign w:val="center"/>
          </w:tcPr>
          <w:p w14:paraId="423FA90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1F453C0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840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70031ADC">
            <w:pPr>
              <w:pStyle w:val="14"/>
              <w:widowControl w:val="0"/>
              <w:jc w:val="left"/>
              <w:rPr>
                <w:rFonts w:ascii="宋体" w:hAnsi="宋体"/>
              </w:rPr>
            </w:pPr>
            <w:r>
              <w:rPr>
                <w:rFonts w:hint="eastAsia" w:ascii="宋体" w:hAnsi="宋体"/>
              </w:rPr>
              <w:t xml:space="preserve">第四单元 </w:t>
            </w:r>
          </w:p>
          <w:p w14:paraId="11B1AFA2">
            <w:pPr>
              <w:pStyle w:val="14"/>
              <w:widowControl w:val="0"/>
              <w:jc w:val="left"/>
              <w:rPr>
                <w:bCs/>
              </w:rPr>
            </w:pPr>
            <w:r>
              <w:t>Pay</w:t>
            </w:r>
          </w:p>
        </w:tc>
        <w:tc>
          <w:tcPr>
            <w:tcW w:w="2755" w:type="dxa"/>
            <w:vAlign w:val="center"/>
          </w:tcPr>
          <w:p w14:paraId="68AB8FCC">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18B87CEC">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789D2E3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102F4E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97B3F8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057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6FFF446F">
            <w:pPr>
              <w:pStyle w:val="14"/>
              <w:widowControl w:val="0"/>
              <w:jc w:val="left"/>
              <w:rPr>
                <w:bCs/>
              </w:rPr>
            </w:pPr>
            <w:r>
              <w:rPr>
                <w:rFonts w:hint="eastAsia" w:ascii="宋体" w:hAnsi="宋体"/>
              </w:rPr>
              <w:t xml:space="preserve">第五单元 </w:t>
            </w:r>
            <w:r>
              <w:t>Development</w:t>
            </w:r>
          </w:p>
        </w:tc>
        <w:tc>
          <w:tcPr>
            <w:tcW w:w="2755" w:type="dxa"/>
            <w:vAlign w:val="center"/>
          </w:tcPr>
          <w:p w14:paraId="2EF14C0A">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79FEDCE4">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课堂观察，口头评价，听力测试，课后作业</w:t>
            </w:r>
          </w:p>
        </w:tc>
        <w:tc>
          <w:tcPr>
            <w:tcW w:w="725" w:type="dxa"/>
            <w:vAlign w:val="center"/>
          </w:tcPr>
          <w:p w14:paraId="416D1F0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24CF1E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CE88C3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E2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F7AF91E">
            <w:pPr>
              <w:pStyle w:val="14"/>
              <w:widowControl w:val="0"/>
              <w:jc w:val="left"/>
              <w:rPr>
                <w:bCs/>
              </w:rPr>
            </w:pPr>
            <w:r>
              <w:rPr>
                <w:rFonts w:hint="eastAsia" w:ascii="宋体" w:hAnsi="宋体"/>
              </w:rPr>
              <w:t xml:space="preserve">第六单元 </w:t>
            </w:r>
            <w:r>
              <w:t>Marketing</w:t>
            </w:r>
          </w:p>
        </w:tc>
        <w:tc>
          <w:tcPr>
            <w:tcW w:w="2755" w:type="dxa"/>
            <w:vAlign w:val="center"/>
          </w:tcPr>
          <w:p w14:paraId="0BB3CD24">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0BD19E5F">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03B5502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69" w:type="dxa"/>
            <w:vAlign w:val="center"/>
          </w:tcPr>
          <w:p w14:paraId="5DD066AB">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1EFF960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A35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644B1D2C">
            <w:pPr>
              <w:pStyle w:val="14"/>
              <w:widowControl w:val="0"/>
              <w:jc w:val="left"/>
              <w:rPr>
                <w:rFonts w:ascii="宋体" w:hAnsi="宋体"/>
              </w:rPr>
            </w:pPr>
            <w:r>
              <w:rPr>
                <w:rFonts w:hint="eastAsia" w:ascii="宋体" w:hAnsi="宋体"/>
              </w:rPr>
              <w:t xml:space="preserve">第七单元 </w:t>
            </w:r>
          </w:p>
          <w:p w14:paraId="0E16AE78">
            <w:pPr>
              <w:pStyle w:val="14"/>
              <w:widowControl w:val="0"/>
              <w:jc w:val="left"/>
              <w:rPr>
                <w:bCs/>
              </w:rPr>
            </w:pPr>
            <w:r>
              <w:rPr>
                <w:rFonts w:cs="Times New Roman"/>
              </w:rPr>
              <w:t>Outsourcing</w:t>
            </w:r>
          </w:p>
        </w:tc>
        <w:tc>
          <w:tcPr>
            <w:tcW w:w="2755" w:type="dxa"/>
            <w:vAlign w:val="center"/>
          </w:tcPr>
          <w:p w14:paraId="172FF987">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268471E8">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42129E2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F4A4C4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05E3C2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F28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75BB6CE">
            <w:pPr>
              <w:pStyle w:val="14"/>
              <w:widowControl w:val="0"/>
              <w:jc w:val="left"/>
              <w:rPr>
                <w:rFonts w:ascii="宋体" w:hAnsi="宋体"/>
              </w:rPr>
            </w:pPr>
            <w:r>
              <w:rPr>
                <w:rFonts w:hint="eastAsia" w:ascii="宋体" w:hAnsi="宋体"/>
              </w:rPr>
              <w:t xml:space="preserve">第八单元 </w:t>
            </w:r>
          </w:p>
          <w:p w14:paraId="7519F12B">
            <w:pPr>
              <w:pStyle w:val="14"/>
              <w:widowControl w:val="0"/>
              <w:jc w:val="left"/>
              <w:rPr>
                <w:bCs/>
              </w:rPr>
            </w:pPr>
            <w:r>
              <w:t>Finance</w:t>
            </w:r>
          </w:p>
        </w:tc>
        <w:tc>
          <w:tcPr>
            <w:tcW w:w="2755" w:type="dxa"/>
            <w:vAlign w:val="center"/>
          </w:tcPr>
          <w:p w14:paraId="7F45EE09">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38C9D35E">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31BE9FF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90C2A0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2B6856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97A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1D353267">
            <w:pPr>
              <w:pStyle w:val="14"/>
              <w:widowControl w:val="0"/>
              <w:jc w:val="left"/>
              <w:rPr>
                <w:bCs/>
              </w:rPr>
            </w:pPr>
            <w:r>
              <w:rPr>
                <w:rFonts w:hint="eastAsia" w:ascii="宋体" w:hAnsi="宋体"/>
              </w:rPr>
              <w:t>第九单元</w:t>
            </w:r>
            <w:r>
              <w:t>Recruitment</w:t>
            </w:r>
          </w:p>
        </w:tc>
        <w:tc>
          <w:tcPr>
            <w:tcW w:w="2755" w:type="dxa"/>
            <w:vAlign w:val="center"/>
          </w:tcPr>
          <w:p w14:paraId="1CDB4FE5">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2494B9B1">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78A4894C">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69" w:type="dxa"/>
            <w:vAlign w:val="center"/>
          </w:tcPr>
          <w:p w14:paraId="5B342C2F">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7B8FDF6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F8E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5EEA0F0">
            <w:pPr>
              <w:pStyle w:val="14"/>
              <w:widowControl w:val="0"/>
              <w:jc w:val="left"/>
              <w:rPr>
                <w:bCs/>
              </w:rPr>
            </w:pPr>
            <w:r>
              <w:rPr>
                <w:rFonts w:hint="eastAsia" w:ascii="宋体" w:hAnsi="宋体"/>
              </w:rPr>
              <w:t xml:space="preserve">第十单元 </w:t>
            </w:r>
            <w:r>
              <w:rPr>
                <w:rFonts w:cs="Times New Roman"/>
              </w:rPr>
              <w:t>Counterfeiting</w:t>
            </w:r>
          </w:p>
        </w:tc>
        <w:tc>
          <w:tcPr>
            <w:tcW w:w="2755" w:type="dxa"/>
            <w:vAlign w:val="center"/>
          </w:tcPr>
          <w:p w14:paraId="3EA0EBDB">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3E851424">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12626BE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4D2CAB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5B8D9F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AF1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4CB0EF07">
            <w:pPr>
              <w:pStyle w:val="14"/>
              <w:widowControl w:val="0"/>
              <w:jc w:val="left"/>
              <w:rPr>
                <w:rFonts w:ascii="宋体" w:hAnsi="宋体"/>
              </w:rPr>
            </w:pPr>
            <w:r>
              <w:rPr>
                <w:rFonts w:hint="eastAsia" w:ascii="宋体" w:hAnsi="宋体"/>
              </w:rPr>
              <w:t>第十一单元</w:t>
            </w:r>
          </w:p>
          <w:p w14:paraId="2D6B7746">
            <w:pPr>
              <w:pStyle w:val="14"/>
              <w:widowControl w:val="0"/>
              <w:jc w:val="left"/>
              <w:rPr>
                <w:rFonts w:cs="Times New Roman"/>
              </w:rPr>
            </w:pPr>
            <w:r>
              <w:rPr>
                <w:rFonts w:hint="eastAsia" w:cs="Times New Roman"/>
              </w:rPr>
              <w:t>Group</w:t>
            </w:r>
            <w:r>
              <w:rPr>
                <w:rFonts w:cs="Times New Roman"/>
              </w:rPr>
              <w:t xml:space="preserve"> </w:t>
            </w:r>
            <w:r>
              <w:rPr>
                <w:rFonts w:hint="eastAsia" w:cs="Times New Roman"/>
              </w:rPr>
              <w:t>Project</w:t>
            </w:r>
          </w:p>
          <w:p w14:paraId="0ECB804A">
            <w:pPr>
              <w:pStyle w:val="14"/>
              <w:widowControl w:val="0"/>
              <w:rPr>
                <w:bCs/>
              </w:rPr>
            </w:pPr>
          </w:p>
        </w:tc>
        <w:tc>
          <w:tcPr>
            <w:tcW w:w="2755" w:type="dxa"/>
            <w:vAlign w:val="center"/>
          </w:tcPr>
          <w:p w14:paraId="300551C7">
            <w:pPr>
              <w:widowControl w:val="0"/>
              <w:snapToGrid w:val="0"/>
              <w:jc w:val="left"/>
              <w:rPr>
                <w:rFonts w:ascii="Times New Roman" w:hAnsi="Times New Roman"/>
                <w:bCs/>
                <w:sz w:val="21"/>
                <w:szCs w:val="21"/>
              </w:rPr>
            </w:pPr>
            <w:r>
              <w:rPr>
                <w:rFonts w:hint="eastAsia" w:ascii="Times New Roman" w:hAnsi="Times New Roman"/>
                <w:bCs/>
                <w:sz w:val="21"/>
                <w:szCs w:val="21"/>
              </w:rPr>
              <w:t>任务教学，问题导向教学，讨论教学</w:t>
            </w:r>
          </w:p>
        </w:tc>
        <w:tc>
          <w:tcPr>
            <w:tcW w:w="1738" w:type="dxa"/>
            <w:vAlign w:val="center"/>
          </w:tcPr>
          <w:p w14:paraId="571F104A">
            <w:pPr>
              <w:widowControl w:val="0"/>
              <w:snapToGrid w:val="0"/>
              <w:jc w:val="left"/>
              <w:rPr>
                <w:rFonts w:ascii="Times New Roman" w:hAnsi="Times New Roman"/>
                <w:bCs/>
                <w:sz w:val="21"/>
                <w:szCs w:val="21"/>
              </w:rPr>
            </w:pPr>
            <w:r>
              <w:rPr>
                <w:rFonts w:hint="eastAsia" w:ascii="Times New Roman" w:hAnsi="Times New Roman"/>
                <w:bCs/>
                <w:sz w:val="21"/>
                <w:szCs w:val="21"/>
              </w:rPr>
              <w:t>小组任务展示，口头讨论评价，自检表填报。</w:t>
            </w:r>
          </w:p>
        </w:tc>
        <w:tc>
          <w:tcPr>
            <w:tcW w:w="725" w:type="dxa"/>
            <w:vAlign w:val="center"/>
          </w:tcPr>
          <w:p w14:paraId="5DC0CE4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69" w:type="dxa"/>
            <w:vAlign w:val="center"/>
          </w:tcPr>
          <w:p w14:paraId="48B6937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14:paraId="1F44515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7D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33945A86">
            <w:pPr>
              <w:pStyle w:val="13"/>
              <w:widowControl w:val="0"/>
            </w:pPr>
            <w:r>
              <w:rPr>
                <w:rFonts w:hint="eastAsia"/>
              </w:rPr>
              <w:t>合计</w:t>
            </w:r>
          </w:p>
        </w:tc>
        <w:tc>
          <w:tcPr>
            <w:tcW w:w="725" w:type="dxa"/>
            <w:tcBorders>
              <w:bottom w:val="single" w:color="auto" w:sz="12" w:space="0"/>
            </w:tcBorders>
            <w:vAlign w:val="center"/>
          </w:tcPr>
          <w:p w14:paraId="5D618A57">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69" w:type="dxa"/>
            <w:tcBorders>
              <w:bottom w:val="single" w:color="auto" w:sz="12" w:space="0"/>
            </w:tcBorders>
            <w:vAlign w:val="center"/>
          </w:tcPr>
          <w:p w14:paraId="02050646">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15CE56A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5C4F00F">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4A1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F3A5820">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C5393F2">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D5FA053">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8968245">
            <w:pPr>
              <w:pStyle w:val="13"/>
              <w:rPr>
                <w:szCs w:val="16"/>
              </w:rPr>
            </w:pPr>
            <w:r>
              <w:rPr>
                <w:rFonts w:hint="eastAsia"/>
                <w:szCs w:val="16"/>
              </w:rPr>
              <w:t>实验</w:t>
            </w:r>
          </w:p>
          <w:p w14:paraId="01105D0C">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BCE4FE0">
            <w:pPr>
              <w:pStyle w:val="13"/>
              <w:rPr>
                <w:szCs w:val="16"/>
              </w:rPr>
            </w:pPr>
            <w:r>
              <w:rPr>
                <w:rFonts w:hint="eastAsia"/>
                <w:szCs w:val="16"/>
              </w:rPr>
              <w:t>实验</w:t>
            </w:r>
          </w:p>
          <w:p w14:paraId="64DB3F42">
            <w:pPr>
              <w:pStyle w:val="13"/>
              <w:rPr>
                <w:szCs w:val="16"/>
              </w:rPr>
            </w:pPr>
            <w:r>
              <w:rPr>
                <w:rFonts w:hint="eastAsia"/>
                <w:szCs w:val="16"/>
              </w:rPr>
              <w:t>类型</w:t>
            </w:r>
          </w:p>
        </w:tc>
      </w:tr>
      <w:tr w14:paraId="5DC5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3DF6EC">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E36A741">
            <w:pPr>
              <w:pStyle w:val="14"/>
              <w:jc w:val="left"/>
            </w:pPr>
            <w:r>
              <w:rPr>
                <w:rFonts w:hint="eastAsia"/>
              </w:rPr>
              <w:t>与教学单元相关主题的课外扩展阅读</w:t>
            </w:r>
          </w:p>
        </w:tc>
        <w:tc>
          <w:tcPr>
            <w:tcW w:w="4061" w:type="dxa"/>
            <w:tcBorders>
              <w:top w:val="single" w:color="auto" w:sz="4" w:space="0"/>
              <w:left w:val="single" w:color="auto" w:sz="4" w:space="0"/>
              <w:bottom w:val="single" w:color="auto" w:sz="4" w:space="0"/>
              <w:right w:val="single" w:color="auto" w:sz="4" w:space="0"/>
            </w:tcBorders>
            <w:vAlign w:val="center"/>
          </w:tcPr>
          <w:p w14:paraId="11BB5B8E">
            <w:pPr>
              <w:pStyle w:val="14"/>
              <w:jc w:val="left"/>
            </w:pPr>
            <w:r>
              <w:rPr>
                <w:rFonts w:hint="eastAsia"/>
              </w:rPr>
              <w:t>要求学生结合课程每单元主题，课外搜索：1、阅读相关的商务入门知识；2、选读近期相关的中国经济新闻资讯（英文版）并在课堂复述播报一则选读内容。</w:t>
            </w:r>
          </w:p>
        </w:tc>
        <w:tc>
          <w:tcPr>
            <w:tcW w:w="862" w:type="dxa"/>
            <w:tcBorders>
              <w:left w:val="single" w:color="auto" w:sz="4" w:space="0"/>
              <w:right w:val="single" w:color="auto" w:sz="4" w:space="0"/>
            </w:tcBorders>
            <w:shd w:val="clear" w:color="auto" w:fill="auto"/>
            <w:vAlign w:val="center"/>
          </w:tcPr>
          <w:p w14:paraId="5BB422A3">
            <w:pPr>
              <w:pStyle w:val="14"/>
            </w:pPr>
            <w:r>
              <w:t>4</w:t>
            </w:r>
          </w:p>
        </w:tc>
        <w:tc>
          <w:tcPr>
            <w:tcW w:w="950" w:type="dxa"/>
            <w:tcBorders>
              <w:left w:val="single" w:color="auto" w:sz="4" w:space="0"/>
              <w:right w:val="single" w:color="auto" w:sz="12" w:space="0"/>
            </w:tcBorders>
            <w:shd w:val="clear" w:color="auto" w:fill="auto"/>
            <w:vAlign w:val="center"/>
          </w:tcPr>
          <w:p w14:paraId="28A1AF11">
            <w:pPr>
              <w:pStyle w:val="14"/>
            </w:pPr>
            <w:r>
              <w:rPr>
                <w:rFonts w:hint="eastAsia"/>
              </w:rPr>
              <w:t>④</w:t>
            </w:r>
          </w:p>
        </w:tc>
      </w:tr>
      <w:tr w14:paraId="295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84B06C">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670E6CB">
            <w:pPr>
              <w:pStyle w:val="14"/>
              <w:jc w:val="left"/>
            </w:pPr>
            <w:r>
              <w:rPr>
                <w:rFonts w:hint="eastAsia"/>
              </w:rPr>
              <w:t>小组项目任务及课堂展示</w:t>
            </w:r>
          </w:p>
        </w:tc>
        <w:tc>
          <w:tcPr>
            <w:tcW w:w="4061" w:type="dxa"/>
            <w:tcBorders>
              <w:top w:val="single" w:color="auto" w:sz="4" w:space="0"/>
              <w:left w:val="single" w:color="auto" w:sz="4" w:space="0"/>
              <w:bottom w:val="single" w:color="auto" w:sz="4" w:space="0"/>
              <w:right w:val="single" w:color="auto" w:sz="4" w:space="0"/>
            </w:tcBorders>
            <w:vAlign w:val="center"/>
          </w:tcPr>
          <w:p w14:paraId="2452BF22">
            <w:pPr>
              <w:pStyle w:val="14"/>
              <w:jc w:val="left"/>
            </w:pPr>
            <w:r>
              <w:rPr>
                <w:rFonts w:hint="eastAsia"/>
              </w:rPr>
              <w:t>要求学生根据教师设定的项目任务（如商务活动策划或案例营销策略分析），综合所学的商务理论知识及商务英语专业用语，小组协同完成任务并在课堂进行口头展示。</w:t>
            </w:r>
          </w:p>
        </w:tc>
        <w:tc>
          <w:tcPr>
            <w:tcW w:w="862" w:type="dxa"/>
            <w:tcBorders>
              <w:left w:val="single" w:color="auto" w:sz="4" w:space="0"/>
              <w:bottom w:val="single" w:color="auto" w:sz="4" w:space="0"/>
              <w:right w:val="single" w:color="auto" w:sz="4" w:space="0"/>
            </w:tcBorders>
            <w:shd w:val="clear" w:color="auto" w:fill="auto"/>
            <w:vAlign w:val="center"/>
          </w:tcPr>
          <w:p w14:paraId="157B3679">
            <w:pPr>
              <w:pStyle w:val="14"/>
            </w:pPr>
            <w:r>
              <w:t>4</w:t>
            </w:r>
          </w:p>
        </w:tc>
        <w:tc>
          <w:tcPr>
            <w:tcW w:w="950" w:type="dxa"/>
            <w:tcBorders>
              <w:left w:val="single" w:color="auto" w:sz="4" w:space="0"/>
              <w:bottom w:val="single" w:color="auto" w:sz="4" w:space="0"/>
              <w:right w:val="single" w:color="auto" w:sz="12" w:space="0"/>
            </w:tcBorders>
            <w:shd w:val="clear" w:color="auto" w:fill="auto"/>
            <w:vAlign w:val="center"/>
          </w:tcPr>
          <w:p w14:paraId="32E57F7F">
            <w:pPr>
              <w:pStyle w:val="14"/>
            </w:pPr>
            <w:r>
              <w:rPr>
                <w:rFonts w:hint="eastAsia"/>
              </w:rPr>
              <w:t>④</w:t>
            </w:r>
          </w:p>
        </w:tc>
      </w:tr>
      <w:tr w14:paraId="0252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74EBA6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7A0A7BA">
      <w:pPr>
        <w:pStyle w:val="16"/>
        <w:spacing w:before="326" w:beforeLines="100" w:line="360" w:lineRule="auto"/>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C301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14:paraId="25422E02">
            <w:pPr>
              <w:pStyle w:val="14"/>
              <w:widowControl w:val="0"/>
              <w:jc w:val="left"/>
            </w:pPr>
            <w:r>
              <w:rPr>
                <w:rFonts w:hint="eastAsia"/>
              </w:rPr>
              <w:t>本课程思政将显性的语言教学与隐性的思政教育有机融合。以“学生为主，教师引导”的教学模式，采用专题式、问题导向、任务驱动、案例教学等多元教学设计，引导学生自主思考、反思领悟。</w:t>
            </w:r>
          </w:p>
          <w:p w14:paraId="294F6AB5">
            <w:pPr>
              <w:pStyle w:val="14"/>
              <w:widowControl w:val="0"/>
              <w:jc w:val="left"/>
            </w:pPr>
            <w:r>
              <w:rPr>
                <w:rFonts w:hint="eastAsia"/>
              </w:rPr>
              <w:t>深挖各个章节的思政育人元素，在每个教学单元的教学重点中突出一个与该单元主题相关的思政内容，对学生的世界观、价值观进行引导教育，最终使知识传授、能力培养和价值观塑造融为一体：</w:t>
            </w:r>
          </w:p>
          <w:p w14:paraId="36439E02">
            <w:pPr>
              <w:pStyle w:val="14"/>
              <w:widowControl w:val="0"/>
              <w:jc w:val="left"/>
              <w:rPr>
                <w:rFonts w:cs="Times New Roman"/>
                <w:bCs/>
              </w:rPr>
            </w:pPr>
            <w:r>
              <w:rPr>
                <w:rFonts w:hint="eastAsia" w:ascii="宋体" w:hAnsi="宋体"/>
                <w:bCs/>
              </w:rPr>
              <w:t xml:space="preserve">第一单元 </w:t>
            </w:r>
            <w:r>
              <w:rPr>
                <w:bCs/>
              </w:rPr>
              <w:t>Companie</w:t>
            </w:r>
            <w:r>
              <w:rPr>
                <w:rFonts w:cs="Times New Roman"/>
                <w:bCs/>
              </w:rPr>
              <w:t>s</w:t>
            </w:r>
          </w:p>
          <w:p w14:paraId="29E5A6F0">
            <w:pPr>
              <w:pStyle w:val="14"/>
              <w:widowControl w:val="0"/>
              <w:jc w:val="left"/>
              <w:rPr>
                <w:rFonts w:ascii="宋体" w:hAnsi="宋体"/>
                <w:bCs/>
              </w:rPr>
            </w:pPr>
            <w:r>
              <w:rPr>
                <w:rFonts w:hint="eastAsia"/>
                <w:sz w:val="20"/>
                <w:szCs w:val="20"/>
              </w:rPr>
              <w:t>鼓励学生在学习中相互协作，合作共赢，常怀感恩之心</w:t>
            </w:r>
            <w:r>
              <w:rPr>
                <w:rFonts w:hint="eastAsia" w:ascii="宋体" w:hAnsi="宋体"/>
                <w:bCs/>
              </w:rPr>
              <w:t>。</w:t>
            </w:r>
          </w:p>
          <w:p w14:paraId="7B8ACCA4">
            <w:pPr>
              <w:pStyle w:val="14"/>
              <w:widowControl w:val="0"/>
              <w:jc w:val="left"/>
              <w:rPr>
                <w:rFonts w:cs="Times New Roman"/>
              </w:rPr>
            </w:pPr>
            <w:r>
              <w:rPr>
                <w:rFonts w:hint="eastAsia" w:ascii="宋体" w:hAnsi="宋体"/>
              </w:rPr>
              <w:t>第二单元</w:t>
            </w:r>
            <w:r>
              <w:rPr>
                <w:rFonts w:cs="Times New Roman"/>
              </w:rPr>
              <w:t xml:space="preserve">  Leadership</w:t>
            </w:r>
          </w:p>
          <w:p w14:paraId="6D769083">
            <w:pPr>
              <w:pStyle w:val="14"/>
              <w:widowControl w:val="0"/>
              <w:jc w:val="left"/>
              <w:rPr>
                <w:rFonts w:ascii="宋体" w:hAnsi="宋体"/>
                <w:bCs/>
              </w:rPr>
            </w:pPr>
            <w:r>
              <w:rPr>
                <w:rFonts w:hint="eastAsia" w:ascii="宋体" w:hAnsi="宋体"/>
                <w:bCs/>
              </w:rPr>
              <w:t>鼓励学生在各种活动中能主动担任角色，培养有担当的主人翁精神，学做团队中的积极成员。</w:t>
            </w:r>
          </w:p>
          <w:p w14:paraId="5F0C00CD">
            <w:pPr>
              <w:pStyle w:val="14"/>
              <w:widowControl w:val="0"/>
              <w:jc w:val="left"/>
              <w:rPr>
                <w:rFonts w:cs="Times New Roman"/>
              </w:rPr>
            </w:pPr>
            <w:r>
              <w:rPr>
                <w:rFonts w:hint="eastAsia" w:ascii="宋体" w:hAnsi="宋体"/>
              </w:rPr>
              <w:t xml:space="preserve">第三单元 </w:t>
            </w:r>
            <w:r>
              <w:t>Strategy</w:t>
            </w:r>
          </w:p>
          <w:p w14:paraId="49B0F550">
            <w:pPr>
              <w:pStyle w:val="14"/>
              <w:widowControl w:val="0"/>
              <w:jc w:val="left"/>
              <w:rPr>
                <w:rFonts w:ascii="宋体" w:hAnsi="宋体"/>
              </w:rPr>
            </w:pPr>
            <w:r>
              <w:rPr>
                <w:rFonts w:hint="eastAsia"/>
              </w:rPr>
              <w:t>善于从多个维度思考问题，利用自己的知识与实践来提出新设想</w:t>
            </w:r>
            <w:r>
              <w:rPr>
                <w:rFonts w:hint="eastAsia" w:ascii="宋体" w:hAnsi="宋体"/>
              </w:rPr>
              <w:t>。</w:t>
            </w:r>
          </w:p>
          <w:p w14:paraId="02A16689">
            <w:pPr>
              <w:pStyle w:val="14"/>
              <w:widowControl w:val="0"/>
              <w:jc w:val="left"/>
              <w:rPr>
                <w:rFonts w:ascii="宋体" w:hAnsi="宋体"/>
              </w:rPr>
            </w:pPr>
            <w:r>
              <w:rPr>
                <w:rFonts w:hint="eastAsia" w:ascii="宋体" w:hAnsi="宋体"/>
              </w:rPr>
              <w:t xml:space="preserve">第四单元 </w:t>
            </w:r>
            <w:r>
              <w:t>Pay</w:t>
            </w:r>
          </w:p>
          <w:p w14:paraId="30A27E90">
            <w:pPr>
              <w:pStyle w:val="14"/>
              <w:widowControl w:val="0"/>
              <w:jc w:val="left"/>
              <w:rPr>
                <w:rFonts w:ascii="宋体" w:hAnsi="宋体"/>
              </w:rPr>
            </w:pPr>
            <w:r>
              <w:rPr>
                <w:rFonts w:hint="eastAsia"/>
              </w:rPr>
              <w:t>鼓励学生在自身的职业选择和发展中，要有大局观、长远的眼光和目标，帮助学生形成正确的择业观</w:t>
            </w:r>
            <w:r>
              <w:rPr>
                <w:rFonts w:hint="eastAsia" w:ascii="宋体" w:hAnsi="宋体"/>
              </w:rPr>
              <w:t>。</w:t>
            </w:r>
          </w:p>
          <w:p w14:paraId="62884E8A">
            <w:pPr>
              <w:pStyle w:val="14"/>
              <w:widowControl w:val="0"/>
              <w:jc w:val="left"/>
              <w:rPr>
                <w:rFonts w:cs="Times New Roman"/>
              </w:rPr>
            </w:pPr>
            <w:r>
              <w:rPr>
                <w:rFonts w:hint="eastAsia" w:ascii="宋体" w:hAnsi="宋体"/>
              </w:rPr>
              <w:t xml:space="preserve">第五单元 </w:t>
            </w:r>
            <w:r>
              <w:t>Development</w:t>
            </w:r>
          </w:p>
          <w:p w14:paraId="0D95C37B">
            <w:pPr>
              <w:pStyle w:val="14"/>
              <w:widowControl w:val="0"/>
              <w:jc w:val="left"/>
            </w:pPr>
            <w:r>
              <w:rPr>
                <w:rFonts w:hint="eastAsia" w:ascii="宋体" w:hAnsi="宋体"/>
              </w:rPr>
              <w:t>懂得</w:t>
            </w:r>
            <w:r>
              <w:rPr>
                <w:rFonts w:hint="eastAsia"/>
              </w:rPr>
              <w:t>在企业日常经营和管理中，要把员工的合法权益，健康安全和环境保护放在重要位置，培养学生的社会责任心和职业道德操守</w:t>
            </w:r>
            <w:r>
              <w:rPr>
                <w:rFonts w:hint="eastAsia" w:ascii="宋体" w:hAnsi="宋体"/>
              </w:rPr>
              <w:t>。</w:t>
            </w:r>
          </w:p>
          <w:p w14:paraId="360EB8CB">
            <w:pPr>
              <w:pStyle w:val="14"/>
              <w:widowControl w:val="0"/>
              <w:jc w:val="left"/>
              <w:rPr>
                <w:rFonts w:cs="Times New Roman"/>
              </w:rPr>
            </w:pPr>
            <w:r>
              <w:rPr>
                <w:rFonts w:hint="eastAsia" w:ascii="宋体" w:hAnsi="宋体"/>
              </w:rPr>
              <w:t xml:space="preserve">第六单元 </w:t>
            </w:r>
            <w:r>
              <w:t>Marketing</w:t>
            </w:r>
          </w:p>
          <w:p w14:paraId="219A12FE">
            <w:pPr>
              <w:pStyle w:val="14"/>
              <w:widowControl w:val="0"/>
              <w:jc w:val="left"/>
              <w:rPr>
                <w:rFonts w:ascii="宋体" w:hAnsi="宋体"/>
              </w:rPr>
            </w:pPr>
            <w:r>
              <w:rPr>
                <w:rFonts w:hint="eastAsia" w:asciiTheme="minorHAnsi" w:hAnsiTheme="minorHAnsi" w:cstheme="minorHAnsi"/>
              </w:rPr>
              <w:t>鼓励学生热爱</w:t>
            </w:r>
            <w:r>
              <w:rPr>
                <w:bCs/>
              </w:rPr>
              <w:t>所学专业，勤学多练，锤炼技能</w:t>
            </w:r>
            <w:r>
              <w:rPr>
                <w:rFonts w:hint="eastAsia" w:ascii="宋体" w:hAnsi="宋体"/>
              </w:rPr>
              <w:t>。</w:t>
            </w:r>
          </w:p>
          <w:p w14:paraId="34717C75">
            <w:pPr>
              <w:pStyle w:val="14"/>
              <w:widowControl w:val="0"/>
              <w:jc w:val="left"/>
              <w:rPr>
                <w:rFonts w:cs="Times New Roman"/>
              </w:rPr>
            </w:pPr>
            <w:r>
              <w:rPr>
                <w:rFonts w:hint="eastAsia" w:ascii="宋体" w:hAnsi="宋体"/>
              </w:rPr>
              <w:t xml:space="preserve">第七单元 </w:t>
            </w:r>
            <w:r>
              <w:rPr>
                <w:rFonts w:cs="Times New Roman"/>
              </w:rPr>
              <w:t xml:space="preserve"> Outsourcing</w:t>
            </w:r>
          </w:p>
          <w:p w14:paraId="0802A062">
            <w:pPr>
              <w:pStyle w:val="14"/>
              <w:widowControl w:val="0"/>
              <w:jc w:val="left"/>
              <w:rPr>
                <w:rFonts w:ascii="宋体" w:hAnsi="宋体"/>
              </w:rPr>
            </w:pPr>
            <w:r>
              <w:rPr>
                <w:rFonts w:hint="eastAsia" w:ascii="宋体" w:hAnsi="宋体"/>
              </w:rPr>
              <w:t>鼓励</w:t>
            </w:r>
            <w:r>
              <w:rPr>
                <w:rFonts w:hint="eastAsia"/>
              </w:rPr>
              <w:t>学生</w:t>
            </w:r>
            <w:r>
              <w:rPr>
                <w:bCs/>
              </w:rPr>
              <w:t>根据需要确定学习目标，并设计学习计划</w:t>
            </w:r>
            <w:r>
              <w:rPr>
                <w:rFonts w:hint="eastAsia" w:ascii="宋体" w:hAnsi="宋体"/>
              </w:rPr>
              <w:t>。</w:t>
            </w:r>
          </w:p>
          <w:p w14:paraId="0DA3C4CC">
            <w:pPr>
              <w:pStyle w:val="14"/>
              <w:widowControl w:val="0"/>
              <w:jc w:val="left"/>
              <w:rPr>
                <w:rFonts w:cs="Times New Roman"/>
              </w:rPr>
            </w:pPr>
            <w:r>
              <w:rPr>
                <w:rFonts w:hint="eastAsia" w:ascii="宋体" w:hAnsi="宋体"/>
              </w:rPr>
              <w:t xml:space="preserve">第八单元 </w:t>
            </w:r>
            <w:r>
              <w:t>Finance</w:t>
            </w:r>
          </w:p>
          <w:p w14:paraId="3AF11E4A">
            <w:pPr>
              <w:pStyle w:val="14"/>
              <w:widowControl w:val="0"/>
              <w:jc w:val="left"/>
              <w:rPr>
                <w:rFonts w:ascii="宋体" w:hAnsi="宋体"/>
              </w:rPr>
            </w:pPr>
            <w:r>
              <w:rPr>
                <w:rFonts w:hint="eastAsia" w:ascii="宋体" w:hAnsi="宋体"/>
              </w:rPr>
              <w:t>知道商业信息管理的法规与惯例，明白在工作场景中应遵守的职业规范和职业道德操守。</w:t>
            </w:r>
          </w:p>
          <w:p w14:paraId="39E96DB7">
            <w:pPr>
              <w:pStyle w:val="14"/>
              <w:widowControl w:val="0"/>
              <w:jc w:val="left"/>
              <w:rPr>
                <w:rFonts w:cs="Times New Roman"/>
              </w:rPr>
            </w:pPr>
            <w:r>
              <w:rPr>
                <w:rFonts w:hint="eastAsia" w:ascii="宋体" w:hAnsi="宋体"/>
              </w:rPr>
              <w:t xml:space="preserve">第九单元 </w:t>
            </w:r>
            <w:r>
              <w:t>Recruitment</w:t>
            </w:r>
          </w:p>
          <w:p w14:paraId="674E336F">
            <w:pPr>
              <w:pStyle w:val="14"/>
              <w:widowControl w:val="0"/>
              <w:jc w:val="left"/>
              <w:rPr>
                <w:rFonts w:ascii="宋体" w:hAnsi="宋体"/>
              </w:rPr>
            </w:pPr>
            <w:r>
              <w:rPr>
                <w:rFonts w:hint="eastAsia"/>
                <w:sz w:val="20"/>
                <w:szCs w:val="20"/>
              </w:rPr>
              <w:t>鼓励学生在自身的职业选择和发展中，要有大局观及长远的眼光和目标，帮助学生形成正确的择业观</w:t>
            </w:r>
            <w:r>
              <w:rPr>
                <w:rFonts w:hint="eastAsia" w:ascii="宋体" w:hAnsi="宋体"/>
              </w:rPr>
              <w:t>。</w:t>
            </w:r>
          </w:p>
          <w:p w14:paraId="331A5940">
            <w:pPr>
              <w:pStyle w:val="14"/>
              <w:widowControl w:val="0"/>
              <w:jc w:val="left"/>
              <w:rPr>
                <w:rFonts w:cs="Times New Roman"/>
              </w:rPr>
            </w:pPr>
            <w:r>
              <w:rPr>
                <w:rFonts w:hint="eastAsia" w:ascii="宋体" w:hAnsi="宋体"/>
              </w:rPr>
              <w:t xml:space="preserve">第十单元 </w:t>
            </w:r>
            <w:r>
              <w:rPr>
                <w:rFonts w:cs="Times New Roman"/>
              </w:rPr>
              <w:t>Counterfeiting</w:t>
            </w:r>
          </w:p>
          <w:p w14:paraId="51D8C091">
            <w:pPr>
              <w:pStyle w:val="14"/>
              <w:widowControl w:val="0"/>
              <w:jc w:val="left"/>
              <w:rPr>
                <w:rFonts w:ascii="宋体" w:hAnsi="宋体"/>
              </w:rPr>
            </w:pPr>
            <w:r>
              <w:rPr>
                <w:rFonts w:hint="eastAsia" w:ascii="宋体" w:hAnsi="宋体"/>
              </w:rPr>
              <w:t>在学习企业的日常生产和管理中，</w:t>
            </w:r>
            <w:r>
              <w:rPr>
                <w:rFonts w:hint="eastAsia"/>
              </w:rPr>
              <w:t>了解与行业相关的职业法规，遵守职业规范，</w:t>
            </w:r>
            <w:r>
              <w:rPr>
                <w:rFonts w:hint="eastAsia" w:ascii="宋体" w:hAnsi="宋体"/>
              </w:rPr>
              <w:t>培养学生的社会责任心和职业素养。</w:t>
            </w:r>
          </w:p>
          <w:p w14:paraId="6F75D64E">
            <w:pPr>
              <w:pStyle w:val="14"/>
              <w:widowControl w:val="0"/>
              <w:jc w:val="left"/>
              <w:rPr>
                <w:rFonts w:cs="Times New Roman"/>
              </w:rPr>
            </w:pPr>
            <w:r>
              <w:rPr>
                <w:rFonts w:hint="eastAsia" w:ascii="宋体" w:hAnsi="宋体"/>
              </w:rPr>
              <w:t xml:space="preserve">第十一单元 </w:t>
            </w:r>
            <w:r>
              <w:rPr>
                <w:rFonts w:cs="Times New Roman"/>
              </w:rPr>
              <w:t xml:space="preserve"> </w:t>
            </w:r>
            <w:r>
              <w:rPr>
                <w:rFonts w:hint="eastAsia" w:cs="Times New Roman"/>
              </w:rPr>
              <w:t>Group</w:t>
            </w:r>
            <w:r>
              <w:rPr>
                <w:rFonts w:cs="Times New Roman"/>
              </w:rPr>
              <w:t xml:space="preserve"> </w:t>
            </w:r>
            <w:r>
              <w:rPr>
                <w:rFonts w:hint="eastAsia" w:cs="Times New Roman"/>
              </w:rPr>
              <w:t>Project</w:t>
            </w:r>
          </w:p>
          <w:p w14:paraId="7A4A547B">
            <w:pPr>
              <w:pStyle w:val="14"/>
              <w:widowControl w:val="0"/>
              <w:jc w:val="left"/>
              <w:rPr>
                <w:rFonts w:ascii="宋体" w:hAnsi="宋体"/>
                <w:bCs/>
                <w:color w:val="FF0000"/>
              </w:rPr>
            </w:pPr>
            <w:r>
              <w:rPr>
                <w:rFonts w:hint="eastAsia" w:ascii="宋体" w:hAnsi="宋体"/>
              </w:rPr>
              <w:t>鼓励学生积极参与小组项目任务计划，运用网络数字化技术收集所需信息和资料，强化团队协作精神，完成自主实践任务。</w:t>
            </w:r>
          </w:p>
          <w:p w14:paraId="66BD6DF4">
            <w:pPr>
              <w:pStyle w:val="14"/>
              <w:widowControl w:val="0"/>
              <w:jc w:val="left"/>
            </w:pPr>
            <w:r>
              <w:rPr>
                <w:rFonts w:hint="eastAsia"/>
              </w:rPr>
              <w:t>本课程按照循序渐进的原则导入课程思政目标。第一阶段，立足学生的家国情怀与文化自信培养，鼓励学生关注祖国特色社会主义经济的发展与改革，讲好中国故事，传播中国声音；第二阶段，强化学生的自主学习能力和思辩创新能力培养；引导学生批判性分析课堂教学中的商务案例，力求去粗取精；第三阶段，拓宽学生交融格局，着眼提升学生的全球视野和文化宽容度。</w:t>
            </w:r>
          </w:p>
        </w:tc>
      </w:tr>
    </w:tbl>
    <w:p w14:paraId="2D32871E">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532"/>
        <w:gridCol w:w="709"/>
        <w:gridCol w:w="709"/>
        <w:gridCol w:w="709"/>
        <w:gridCol w:w="632"/>
        <w:gridCol w:w="643"/>
        <w:gridCol w:w="799"/>
      </w:tblGrid>
      <w:tr w14:paraId="794A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67660A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66740A3">
            <w:pPr>
              <w:pStyle w:val="16"/>
              <w:widowControl w:val="0"/>
              <w:spacing w:line="240" w:lineRule="auto"/>
              <w:jc w:val="center"/>
              <w:rPr>
                <w:rFonts w:ascii="黑体" w:hAnsi="宋体"/>
              </w:rPr>
            </w:pPr>
            <w:r>
              <w:rPr>
                <w:rFonts w:hint="eastAsia" w:ascii="黑体" w:hAnsi="黑体"/>
                <w:bCs/>
                <w:sz w:val="21"/>
                <w:szCs w:val="21"/>
              </w:rPr>
              <w:t>占比</w:t>
            </w:r>
          </w:p>
        </w:tc>
        <w:tc>
          <w:tcPr>
            <w:tcW w:w="2532" w:type="dxa"/>
            <w:vMerge w:val="restart"/>
            <w:tcBorders>
              <w:top w:val="single" w:color="auto" w:sz="12" w:space="0"/>
              <w:right w:val="double" w:color="auto" w:sz="4" w:space="0"/>
            </w:tcBorders>
            <w:vAlign w:val="center"/>
          </w:tcPr>
          <w:p w14:paraId="42276FC0">
            <w:pPr>
              <w:pStyle w:val="16"/>
              <w:widowControl w:val="0"/>
              <w:jc w:val="center"/>
              <w:rPr>
                <w:rFonts w:ascii="黑体" w:hAnsi="黑体"/>
                <w:bCs/>
                <w:sz w:val="21"/>
                <w:szCs w:val="21"/>
              </w:rPr>
            </w:pPr>
            <w:r>
              <w:rPr>
                <w:rFonts w:hint="eastAsia" w:ascii="黑体" w:hAnsi="黑体"/>
                <w:bCs/>
                <w:sz w:val="21"/>
                <w:szCs w:val="21"/>
              </w:rPr>
              <w:t>考核方式</w:t>
            </w:r>
          </w:p>
        </w:tc>
        <w:tc>
          <w:tcPr>
            <w:tcW w:w="3402" w:type="dxa"/>
            <w:gridSpan w:val="5"/>
            <w:tcBorders>
              <w:top w:val="single" w:color="auto" w:sz="12" w:space="0"/>
              <w:left w:val="double" w:color="auto" w:sz="4" w:space="0"/>
            </w:tcBorders>
            <w:vAlign w:val="center"/>
          </w:tcPr>
          <w:p w14:paraId="7DF6FDFA">
            <w:pPr>
              <w:pStyle w:val="16"/>
              <w:widowControl w:val="0"/>
              <w:spacing w:line="240" w:lineRule="auto"/>
              <w:jc w:val="center"/>
              <w:rPr>
                <w:rFonts w:ascii="黑体" w:hAnsi="宋体"/>
              </w:rPr>
            </w:pPr>
            <w:r>
              <w:rPr>
                <w:rFonts w:hint="eastAsia" w:ascii="黑体" w:hAnsi="黑体"/>
                <w:bCs/>
                <w:sz w:val="21"/>
                <w:szCs w:val="21"/>
              </w:rPr>
              <w:t>课程目标</w:t>
            </w:r>
          </w:p>
        </w:tc>
        <w:tc>
          <w:tcPr>
            <w:tcW w:w="799" w:type="dxa"/>
            <w:vMerge w:val="restart"/>
            <w:tcBorders>
              <w:top w:val="single" w:color="auto" w:sz="12" w:space="0"/>
              <w:right w:val="single" w:color="auto" w:sz="12" w:space="0"/>
            </w:tcBorders>
            <w:vAlign w:val="center"/>
          </w:tcPr>
          <w:p w14:paraId="077A48E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326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5504F1D">
            <w:pPr>
              <w:widowControl w:val="0"/>
              <w:snapToGrid w:val="0"/>
              <w:jc w:val="center"/>
              <w:rPr>
                <w:rFonts w:ascii="黑体" w:hAnsi="黑体" w:eastAsia="黑体"/>
                <w:bCs/>
                <w:sz w:val="21"/>
                <w:szCs w:val="21"/>
              </w:rPr>
            </w:pPr>
          </w:p>
        </w:tc>
        <w:tc>
          <w:tcPr>
            <w:tcW w:w="709" w:type="dxa"/>
            <w:vMerge w:val="continue"/>
          </w:tcPr>
          <w:p w14:paraId="64F7D0FE">
            <w:pPr>
              <w:pStyle w:val="16"/>
              <w:widowControl w:val="0"/>
              <w:jc w:val="both"/>
              <w:rPr>
                <w:rFonts w:ascii="黑体" w:hAnsi="黑体"/>
                <w:bCs/>
                <w:sz w:val="21"/>
                <w:szCs w:val="21"/>
              </w:rPr>
            </w:pPr>
          </w:p>
        </w:tc>
        <w:tc>
          <w:tcPr>
            <w:tcW w:w="2532" w:type="dxa"/>
            <w:vMerge w:val="continue"/>
            <w:tcBorders>
              <w:right w:val="double" w:color="auto" w:sz="4" w:space="0"/>
            </w:tcBorders>
          </w:tcPr>
          <w:p w14:paraId="121988BA">
            <w:pPr>
              <w:pStyle w:val="16"/>
              <w:widowControl w:val="0"/>
              <w:jc w:val="both"/>
              <w:rPr>
                <w:rFonts w:ascii="黑体" w:hAnsi="黑体"/>
                <w:bCs/>
                <w:sz w:val="21"/>
                <w:szCs w:val="21"/>
              </w:rPr>
            </w:pPr>
          </w:p>
        </w:tc>
        <w:tc>
          <w:tcPr>
            <w:tcW w:w="709" w:type="dxa"/>
            <w:tcBorders>
              <w:left w:val="double" w:color="auto" w:sz="4" w:space="0"/>
            </w:tcBorders>
            <w:vAlign w:val="center"/>
          </w:tcPr>
          <w:p w14:paraId="789F02FC">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709" w:type="dxa"/>
            <w:tcBorders>
              <w:left w:val="double" w:color="auto" w:sz="4" w:space="0"/>
            </w:tcBorders>
            <w:vAlign w:val="center"/>
          </w:tcPr>
          <w:p w14:paraId="07427F54">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709" w:type="dxa"/>
            <w:tcBorders>
              <w:left w:val="double" w:color="auto" w:sz="4" w:space="0"/>
            </w:tcBorders>
            <w:vAlign w:val="center"/>
          </w:tcPr>
          <w:p w14:paraId="1D1B5DB5">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32" w:type="dxa"/>
            <w:tcBorders>
              <w:left w:val="double" w:color="auto" w:sz="4" w:space="0"/>
            </w:tcBorders>
            <w:vAlign w:val="center"/>
          </w:tcPr>
          <w:p w14:paraId="3DE6B854">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43" w:type="dxa"/>
            <w:tcBorders>
              <w:left w:val="double" w:color="auto" w:sz="4" w:space="0"/>
            </w:tcBorders>
            <w:vAlign w:val="center"/>
          </w:tcPr>
          <w:p w14:paraId="573A449B">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99" w:type="dxa"/>
            <w:vMerge w:val="continue"/>
            <w:tcBorders>
              <w:right w:val="single" w:color="auto" w:sz="12" w:space="0"/>
            </w:tcBorders>
          </w:tcPr>
          <w:p w14:paraId="7166E332">
            <w:pPr>
              <w:pStyle w:val="16"/>
              <w:widowControl w:val="0"/>
              <w:spacing w:line="240" w:lineRule="auto"/>
              <w:jc w:val="center"/>
              <w:rPr>
                <w:rFonts w:ascii="黑体" w:hAnsi="黑体"/>
                <w:bCs/>
                <w:sz w:val="21"/>
                <w:szCs w:val="21"/>
              </w:rPr>
            </w:pPr>
          </w:p>
        </w:tc>
      </w:tr>
      <w:tr w14:paraId="7E67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4F11350">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1</w:t>
            </w:r>
          </w:p>
        </w:tc>
        <w:tc>
          <w:tcPr>
            <w:tcW w:w="709" w:type="dxa"/>
            <w:vAlign w:val="center"/>
          </w:tcPr>
          <w:p w14:paraId="3F7ECD69">
            <w:pPr>
              <w:pStyle w:val="14"/>
              <w:widowControl w:val="0"/>
            </w:pPr>
            <w:r>
              <w:rPr>
                <w:rFonts w:hint="eastAsia"/>
                <w:szCs w:val="24"/>
              </w:rPr>
              <w:t>1</w:t>
            </w:r>
            <w:r>
              <w:rPr>
                <w:szCs w:val="24"/>
              </w:rPr>
              <w:t>5%</w:t>
            </w:r>
          </w:p>
        </w:tc>
        <w:tc>
          <w:tcPr>
            <w:tcW w:w="2532" w:type="dxa"/>
            <w:tcBorders>
              <w:right w:val="double" w:color="auto" w:sz="4" w:space="0"/>
            </w:tcBorders>
            <w:vAlign w:val="center"/>
          </w:tcPr>
          <w:p w14:paraId="7E9B1DD1">
            <w:pPr>
              <w:pStyle w:val="14"/>
              <w:widowControl w:val="0"/>
            </w:pPr>
            <w:r>
              <w:rPr>
                <w:rFonts w:hint="eastAsia"/>
              </w:rPr>
              <w:t>考勤及课后作业</w:t>
            </w:r>
          </w:p>
        </w:tc>
        <w:tc>
          <w:tcPr>
            <w:tcW w:w="709" w:type="dxa"/>
            <w:tcBorders>
              <w:left w:val="double" w:color="auto" w:sz="4" w:space="0"/>
            </w:tcBorders>
            <w:vAlign w:val="center"/>
          </w:tcPr>
          <w:p w14:paraId="1FD3D19D">
            <w:pPr>
              <w:pStyle w:val="14"/>
              <w:widowControl w:val="0"/>
              <w:rPr>
                <w:rFonts w:cs="Times New Roman"/>
              </w:rPr>
            </w:pPr>
            <w:r>
              <w:rPr>
                <w:rFonts w:cs="Times New Roman"/>
                <w:bCs/>
              </w:rPr>
              <w:t>40</w:t>
            </w:r>
          </w:p>
        </w:tc>
        <w:tc>
          <w:tcPr>
            <w:tcW w:w="709" w:type="dxa"/>
            <w:tcBorders>
              <w:left w:val="double" w:color="auto" w:sz="4" w:space="0"/>
            </w:tcBorders>
            <w:vAlign w:val="center"/>
          </w:tcPr>
          <w:p w14:paraId="1C1D4316">
            <w:pPr>
              <w:pStyle w:val="14"/>
              <w:widowControl w:val="0"/>
              <w:rPr>
                <w:rFonts w:cs="Times New Roman"/>
              </w:rPr>
            </w:pPr>
            <w:r>
              <w:rPr>
                <w:rFonts w:cs="Times New Roman"/>
                <w:bCs/>
              </w:rPr>
              <w:t>30</w:t>
            </w:r>
          </w:p>
        </w:tc>
        <w:tc>
          <w:tcPr>
            <w:tcW w:w="709" w:type="dxa"/>
            <w:tcBorders>
              <w:left w:val="double" w:color="auto" w:sz="4" w:space="0"/>
            </w:tcBorders>
            <w:vAlign w:val="center"/>
          </w:tcPr>
          <w:p w14:paraId="29A36EAC">
            <w:pPr>
              <w:pStyle w:val="14"/>
              <w:widowControl w:val="0"/>
              <w:rPr>
                <w:rFonts w:cs="Times New Roman"/>
              </w:rPr>
            </w:pPr>
            <w:r>
              <w:rPr>
                <w:rFonts w:cs="Times New Roman"/>
                <w:bCs/>
              </w:rPr>
              <w:t>10</w:t>
            </w:r>
          </w:p>
        </w:tc>
        <w:tc>
          <w:tcPr>
            <w:tcW w:w="632" w:type="dxa"/>
            <w:tcBorders>
              <w:left w:val="double" w:color="auto" w:sz="4" w:space="0"/>
            </w:tcBorders>
            <w:vAlign w:val="center"/>
          </w:tcPr>
          <w:p w14:paraId="7DD9817D">
            <w:pPr>
              <w:pStyle w:val="14"/>
              <w:widowControl w:val="0"/>
              <w:rPr>
                <w:rFonts w:cs="Times New Roman"/>
              </w:rPr>
            </w:pPr>
          </w:p>
        </w:tc>
        <w:tc>
          <w:tcPr>
            <w:tcW w:w="643" w:type="dxa"/>
            <w:tcBorders>
              <w:left w:val="double" w:color="auto" w:sz="4" w:space="0"/>
            </w:tcBorders>
            <w:vAlign w:val="center"/>
          </w:tcPr>
          <w:p w14:paraId="1C49A3C7">
            <w:pPr>
              <w:pStyle w:val="14"/>
              <w:widowControl w:val="0"/>
              <w:rPr>
                <w:rFonts w:cs="Times New Roman"/>
              </w:rPr>
            </w:pPr>
            <w:r>
              <w:rPr>
                <w:rFonts w:cs="Times New Roman"/>
                <w:bCs/>
              </w:rPr>
              <w:t>20</w:t>
            </w:r>
          </w:p>
        </w:tc>
        <w:tc>
          <w:tcPr>
            <w:tcW w:w="799" w:type="dxa"/>
            <w:tcBorders>
              <w:right w:val="single" w:color="auto" w:sz="12" w:space="0"/>
            </w:tcBorders>
            <w:vAlign w:val="center"/>
          </w:tcPr>
          <w:p w14:paraId="501CDD70">
            <w:pPr>
              <w:pStyle w:val="14"/>
              <w:widowControl w:val="0"/>
            </w:pPr>
            <w:r>
              <w:rPr>
                <w:rFonts w:hint="eastAsia"/>
              </w:rPr>
              <w:t>1</w:t>
            </w:r>
            <w:r>
              <w:t>00</w:t>
            </w:r>
          </w:p>
        </w:tc>
      </w:tr>
      <w:tr w14:paraId="3C33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3A98CE0">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09" w:type="dxa"/>
            <w:vAlign w:val="center"/>
          </w:tcPr>
          <w:p w14:paraId="4A8E6BEE">
            <w:pPr>
              <w:pStyle w:val="14"/>
              <w:widowControl w:val="0"/>
            </w:pPr>
            <w:r>
              <w:rPr>
                <w:szCs w:val="24"/>
              </w:rPr>
              <w:t>20%</w:t>
            </w:r>
          </w:p>
        </w:tc>
        <w:tc>
          <w:tcPr>
            <w:tcW w:w="2532" w:type="dxa"/>
            <w:tcBorders>
              <w:right w:val="double" w:color="auto" w:sz="4" w:space="0"/>
            </w:tcBorders>
            <w:vAlign w:val="center"/>
          </w:tcPr>
          <w:p w14:paraId="54CF5B5B">
            <w:pPr>
              <w:pStyle w:val="14"/>
              <w:widowControl w:val="0"/>
            </w:pPr>
            <w:r>
              <w:rPr>
                <w:rFonts w:hint="eastAsia"/>
                <w:szCs w:val="24"/>
              </w:rPr>
              <w:t>随堂听力测试</w:t>
            </w:r>
          </w:p>
        </w:tc>
        <w:tc>
          <w:tcPr>
            <w:tcW w:w="709" w:type="dxa"/>
            <w:tcBorders>
              <w:left w:val="double" w:color="auto" w:sz="4" w:space="0"/>
            </w:tcBorders>
            <w:vAlign w:val="center"/>
          </w:tcPr>
          <w:p w14:paraId="31F0A05B">
            <w:pPr>
              <w:pStyle w:val="14"/>
              <w:widowControl w:val="0"/>
            </w:pPr>
            <w:r>
              <w:rPr>
                <w:rFonts w:hint="eastAsia"/>
              </w:rPr>
              <w:t>40</w:t>
            </w:r>
          </w:p>
        </w:tc>
        <w:tc>
          <w:tcPr>
            <w:tcW w:w="709" w:type="dxa"/>
            <w:tcBorders>
              <w:left w:val="double" w:color="auto" w:sz="4" w:space="0"/>
            </w:tcBorders>
            <w:vAlign w:val="center"/>
          </w:tcPr>
          <w:p w14:paraId="774484EB">
            <w:pPr>
              <w:pStyle w:val="14"/>
              <w:widowControl w:val="0"/>
            </w:pPr>
            <w:r>
              <w:rPr>
                <w:rFonts w:hint="eastAsia"/>
              </w:rPr>
              <w:t>30</w:t>
            </w:r>
          </w:p>
        </w:tc>
        <w:tc>
          <w:tcPr>
            <w:tcW w:w="709" w:type="dxa"/>
            <w:tcBorders>
              <w:left w:val="double" w:color="auto" w:sz="4" w:space="0"/>
            </w:tcBorders>
            <w:vAlign w:val="center"/>
          </w:tcPr>
          <w:p w14:paraId="1AAC1E9D">
            <w:pPr>
              <w:pStyle w:val="14"/>
              <w:widowControl w:val="0"/>
            </w:pPr>
            <w:r>
              <w:rPr>
                <w:rFonts w:hint="eastAsia"/>
              </w:rPr>
              <w:t>30</w:t>
            </w:r>
          </w:p>
        </w:tc>
        <w:tc>
          <w:tcPr>
            <w:tcW w:w="632" w:type="dxa"/>
            <w:tcBorders>
              <w:left w:val="double" w:color="auto" w:sz="4" w:space="0"/>
            </w:tcBorders>
            <w:vAlign w:val="center"/>
          </w:tcPr>
          <w:p w14:paraId="581F2E99">
            <w:pPr>
              <w:pStyle w:val="14"/>
              <w:widowControl w:val="0"/>
            </w:pPr>
          </w:p>
        </w:tc>
        <w:tc>
          <w:tcPr>
            <w:tcW w:w="643" w:type="dxa"/>
            <w:tcBorders>
              <w:left w:val="double" w:color="auto" w:sz="4" w:space="0"/>
            </w:tcBorders>
            <w:vAlign w:val="center"/>
          </w:tcPr>
          <w:p w14:paraId="3F4B7AF3">
            <w:pPr>
              <w:pStyle w:val="14"/>
              <w:widowControl w:val="0"/>
            </w:pPr>
          </w:p>
        </w:tc>
        <w:tc>
          <w:tcPr>
            <w:tcW w:w="799" w:type="dxa"/>
            <w:tcBorders>
              <w:right w:val="single" w:color="auto" w:sz="12" w:space="0"/>
            </w:tcBorders>
            <w:vAlign w:val="center"/>
          </w:tcPr>
          <w:p w14:paraId="4DB88E2C">
            <w:pPr>
              <w:pStyle w:val="14"/>
              <w:widowControl w:val="0"/>
            </w:pPr>
            <w:r>
              <w:rPr>
                <w:rFonts w:hint="eastAsia"/>
              </w:rPr>
              <w:t>1</w:t>
            </w:r>
            <w:r>
              <w:t>00</w:t>
            </w:r>
          </w:p>
        </w:tc>
      </w:tr>
      <w:tr w14:paraId="344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D0B806">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vAlign w:val="center"/>
          </w:tcPr>
          <w:p w14:paraId="553064B1">
            <w:pPr>
              <w:pStyle w:val="14"/>
              <w:widowControl w:val="0"/>
            </w:pPr>
            <w:r>
              <w:rPr>
                <w:szCs w:val="24"/>
              </w:rPr>
              <w:t>20%</w:t>
            </w:r>
          </w:p>
        </w:tc>
        <w:tc>
          <w:tcPr>
            <w:tcW w:w="2532" w:type="dxa"/>
            <w:tcBorders>
              <w:right w:val="double" w:color="auto" w:sz="4" w:space="0"/>
            </w:tcBorders>
            <w:vAlign w:val="center"/>
          </w:tcPr>
          <w:p w14:paraId="3C93C214">
            <w:pPr>
              <w:pStyle w:val="14"/>
              <w:widowControl w:val="0"/>
            </w:pPr>
            <w:r>
              <w:rPr>
                <w:rFonts w:hint="eastAsia"/>
              </w:rPr>
              <w:t>小组项目报告及课堂展示</w:t>
            </w:r>
          </w:p>
        </w:tc>
        <w:tc>
          <w:tcPr>
            <w:tcW w:w="709" w:type="dxa"/>
            <w:tcBorders>
              <w:left w:val="double" w:color="auto" w:sz="4" w:space="0"/>
            </w:tcBorders>
            <w:vAlign w:val="center"/>
          </w:tcPr>
          <w:p w14:paraId="0B8942B3">
            <w:pPr>
              <w:pStyle w:val="14"/>
              <w:widowControl w:val="0"/>
            </w:pPr>
            <w:r>
              <w:t>3</w:t>
            </w:r>
            <w:r>
              <w:rPr>
                <w:rFonts w:hint="eastAsia"/>
              </w:rPr>
              <w:t>0</w:t>
            </w:r>
          </w:p>
        </w:tc>
        <w:tc>
          <w:tcPr>
            <w:tcW w:w="709" w:type="dxa"/>
            <w:tcBorders>
              <w:left w:val="double" w:color="auto" w:sz="4" w:space="0"/>
            </w:tcBorders>
            <w:vAlign w:val="center"/>
          </w:tcPr>
          <w:p w14:paraId="2BD080CE">
            <w:pPr>
              <w:pStyle w:val="14"/>
              <w:widowControl w:val="0"/>
            </w:pPr>
            <w:r>
              <w:t>2</w:t>
            </w:r>
            <w:r>
              <w:rPr>
                <w:rFonts w:hint="eastAsia"/>
              </w:rPr>
              <w:t>0</w:t>
            </w:r>
          </w:p>
        </w:tc>
        <w:tc>
          <w:tcPr>
            <w:tcW w:w="709" w:type="dxa"/>
            <w:tcBorders>
              <w:left w:val="double" w:color="auto" w:sz="4" w:space="0"/>
            </w:tcBorders>
            <w:vAlign w:val="center"/>
          </w:tcPr>
          <w:p w14:paraId="78EA2604">
            <w:pPr>
              <w:pStyle w:val="14"/>
              <w:widowControl w:val="0"/>
            </w:pPr>
            <w:r>
              <w:t>2</w:t>
            </w:r>
            <w:r>
              <w:rPr>
                <w:rFonts w:hint="eastAsia"/>
              </w:rPr>
              <w:t>0</w:t>
            </w:r>
          </w:p>
        </w:tc>
        <w:tc>
          <w:tcPr>
            <w:tcW w:w="632" w:type="dxa"/>
            <w:tcBorders>
              <w:left w:val="double" w:color="auto" w:sz="4" w:space="0"/>
            </w:tcBorders>
            <w:vAlign w:val="center"/>
          </w:tcPr>
          <w:p w14:paraId="49C156B9">
            <w:pPr>
              <w:pStyle w:val="14"/>
              <w:widowControl w:val="0"/>
            </w:pPr>
            <w:r>
              <w:rPr>
                <w:rFonts w:hint="eastAsia"/>
              </w:rPr>
              <w:t>2</w:t>
            </w:r>
            <w:r>
              <w:t>0</w:t>
            </w:r>
          </w:p>
        </w:tc>
        <w:tc>
          <w:tcPr>
            <w:tcW w:w="643" w:type="dxa"/>
            <w:tcBorders>
              <w:left w:val="double" w:color="auto" w:sz="4" w:space="0"/>
            </w:tcBorders>
            <w:vAlign w:val="center"/>
          </w:tcPr>
          <w:p w14:paraId="1928C702">
            <w:pPr>
              <w:pStyle w:val="14"/>
              <w:widowControl w:val="0"/>
            </w:pPr>
            <w:r>
              <w:rPr>
                <w:rFonts w:hint="eastAsia"/>
              </w:rPr>
              <w:t>1</w:t>
            </w:r>
            <w:r>
              <w:t>0</w:t>
            </w:r>
          </w:p>
        </w:tc>
        <w:tc>
          <w:tcPr>
            <w:tcW w:w="799" w:type="dxa"/>
            <w:tcBorders>
              <w:right w:val="single" w:color="auto" w:sz="12" w:space="0"/>
            </w:tcBorders>
            <w:vAlign w:val="center"/>
          </w:tcPr>
          <w:p w14:paraId="4C675C5C">
            <w:pPr>
              <w:pStyle w:val="14"/>
              <w:widowControl w:val="0"/>
            </w:pPr>
            <w:r>
              <w:rPr>
                <w:rFonts w:hint="eastAsia"/>
              </w:rPr>
              <w:t>1</w:t>
            </w:r>
            <w:r>
              <w:t>00</w:t>
            </w:r>
          </w:p>
        </w:tc>
      </w:tr>
      <w:tr w14:paraId="54A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A3CB5AA">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709" w:type="dxa"/>
            <w:vAlign w:val="center"/>
          </w:tcPr>
          <w:p w14:paraId="6612120C">
            <w:pPr>
              <w:pStyle w:val="14"/>
              <w:widowControl w:val="0"/>
            </w:pPr>
            <w:r>
              <w:rPr>
                <w:rFonts w:hint="eastAsia"/>
                <w:szCs w:val="24"/>
              </w:rPr>
              <w:t>4</w:t>
            </w:r>
            <w:r>
              <w:rPr>
                <w:szCs w:val="24"/>
              </w:rPr>
              <w:t>5</w:t>
            </w:r>
            <w:r>
              <w:rPr>
                <w:rFonts w:hint="eastAsia"/>
                <w:szCs w:val="24"/>
              </w:rPr>
              <w:t>%</w:t>
            </w:r>
          </w:p>
        </w:tc>
        <w:tc>
          <w:tcPr>
            <w:tcW w:w="2532" w:type="dxa"/>
            <w:tcBorders>
              <w:right w:val="double" w:color="auto" w:sz="4" w:space="0"/>
            </w:tcBorders>
            <w:vAlign w:val="center"/>
          </w:tcPr>
          <w:p w14:paraId="5E4B47A6">
            <w:pPr>
              <w:pStyle w:val="14"/>
              <w:widowControl w:val="0"/>
            </w:pPr>
            <w:r>
              <w:rPr>
                <w:rFonts w:hint="eastAsia"/>
              </w:rPr>
              <w:t>笔试</w:t>
            </w:r>
          </w:p>
        </w:tc>
        <w:tc>
          <w:tcPr>
            <w:tcW w:w="709" w:type="dxa"/>
            <w:tcBorders>
              <w:left w:val="double" w:color="auto" w:sz="4" w:space="0"/>
            </w:tcBorders>
            <w:vAlign w:val="center"/>
          </w:tcPr>
          <w:p w14:paraId="09089DB9">
            <w:pPr>
              <w:pStyle w:val="14"/>
              <w:widowControl w:val="0"/>
            </w:pPr>
            <w:r>
              <w:t>30</w:t>
            </w:r>
          </w:p>
        </w:tc>
        <w:tc>
          <w:tcPr>
            <w:tcW w:w="709" w:type="dxa"/>
            <w:tcBorders>
              <w:left w:val="double" w:color="auto" w:sz="4" w:space="0"/>
            </w:tcBorders>
            <w:vAlign w:val="center"/>
          </w:tcPr>
          <w:p w14:paraId="2A9783B2">
            <w:pPr>
              <w:pStyle w:val="14"/>
              <w:widowControl w:val="0"/>
            </w:pPr>
          </w:p>
        </w:tc>
        <w:tc>
          <w:tcPr>
            <w:tcW w:w="709" w:type="dxa"/>
            <w:tcBorders>
              <w:left w:val="double" w:color="auto" w:sz="4" w:space="0"/>
            </w:tcBorders>
            <w:vAlign w:val="center"/>
          </w:tcPr>
          <w:p w14:paraId="11A41411">
            <w:pPr>
              <w:pStyle w:val="14"/>
              <w:widowControl w:val="0"/>
            </w:pPr>
            <w:r>
              <w:t>4</w:t>
            </w:r>
            <w:r>
              <w:rPr>
                <w:rFonts w:hint="eastAsia"/>
              </w:rPr>
              <w:t>0</w:t>
            </w:r>
          </w:p>
        </w:tc>
        <w:tc>
          <w:tcPr>
            <w:tcW w:w="632" w:type="dxa"/>
            <w:tcBorders>
              <w:left w:val="double" w:color="auto" w:sz="4" w:space="0"/>
            </w:tcBorders>
            <w:vAlign w:val="center"/>
          </w:tcPr>
          <w:p w14:paraId="5EA27FD4">
            <w:pPr>
              <w:pStyle w:val="14"/>
              <w:widowControl w:val="0"/>
            </w:pPr>
            <w:r>
              <w:t>1</w:t>
            </w:r>
            <w:r>
              <w:rPr>
                <w:rFonts w:hint="eastAsia"/>
              </w:rPr>
              <w:t>0</w:t>
            </w:r>
          </w:p>
        </w:tc>
        <w:tc>
          <w:tcPr>
            <w:tcW w:w="643" w:type="dxa"/>
            <w:tcBorders>
              <w:left w:val="double" w:color="auto" w:sz="4" w:space="0"/>
            </w:tcBorders>
            <w:vAlign w:val="center"/>
          </w:tcPr>
          <w:p w14:paraId="1B0ED5F0">
            <w:pPr>
              <w:pStyle w:val="14"/>
              <w:widowControl w:val="0"/>
            </w:pPr>
            <w:r>
              <w:t>2</w:t>
            </w:r>
            <w:r>
              <w:rPr>
                <w:rFonts w:hint="eastAsia"/>
              </w:rPr>
              <w:t>0</w:t>
            </w:r>
          </w:p>
        </w:tc>
        <w:tc>
          <w:tcPr>
            <w:tcW w:w="799" w:type="dxa"/>
            <w:tcBorders>
              <w:right w:val="single" w:color="auto" w:sz="12" w:space="0"/>
            </w:tcBorders>
            <w:vAlign w:val="center"/>
          </w:tcPr>
          <w:p w14:paraId="23321D93">
            <w:pPr>
              <w:pStyle w:val="14"/>
              <w:widowControl w:val="0"/>
            </w:pPr>
            <w:r>
              <w:rPr>
                <w:rFonts w:hint="eastAsia"/>
              </w:rPr>
              <w:t>1</w:t>
            </w:r>
            <w:r>
              <w:t>00</w:t>
            </w:r>
          </w:p>
        </w:tc>
      </w:tr>
    </w:tbl>
    <w:p w14:paraId="031C0E6E">
      <w:pPr>
        <w:pStyle w:val="16"/>
        <w:ind w:firstLine="1260"/>
        <w:rPr>
          <w:rFonts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82C0">
    <w:pPr>
      <w:ind w:firstLine="1400"/>
      <w:jc w:val="right"/>
      <w:rPr>
        <w:rFonts w:ascii="方正小标宋简体" w:hAnsi="方正小标宋简体" w:eastAsia="方正小标宋简体"/>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26030853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CC939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4ZKZ&#10;1AAAAAkBAAAPAAAAAAAAAAEAIAAAACIAAABkcnMvZG93bnJldi54bWxQSwECFAAUAAAACACHTuJA&#10;NpZT1F4CAAClBAAADgAAAAAAAAABACAAAAAjAQAAZHJzL2Uyb0RvYy54bWxQSwUGAAAAAAYABgBZ&#10;AQAA8wUAAAAA&#10;">
              <v:fill on="t" focussize="0,0"/>
              <v:stroke on="f" weight="0.5pt"/>
              <v:imagedata o:title=""/>
              <o:lock v:ext="edit" aspectratio="f"/>
              <v:textbox>
                <w:txbxContent>
                  <w:p w14:paraId="42CC9392">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172A27"/>
    <w:rsid w:val="000160BE"/>
    <w:rsid w:val="000203E0"/>
    <w:rsid w:val="000210E0"/>
    <w:rsid w:val="00021921"/>
    <w:rsid w:val="0002577A"/>
    <w:rsid w:val="00033082"/>
    <w:rsid w:val="00044088"/>
    <w:rsid w:val="00045E3A"/>
    <w:rsid w:val="00053590"/>
    <w:rsid w:val="0006001D"/>
    <w:rsid w:val="00066041"/>
    <w:rsid w:val="000666C2"/>
    <w:rsid w:val="00066C9C"/>
    <w:rsid w:val="00070982"/>
    <w:rsid w:val="00076794"/>
    <w:rsid w:val="00076867"/>
    <w:rsid w:val="0008122A"/>
    <w:rsid w:val="00083AE5"/>
    <w:rsid w:val="00087488"/>
    <w:rsid w:val="0009050A"/>
    <w:rsid w:val="0009721F"/>
    <w:rsid w:val="000973DA"/>
    <w:rsid w:val="000A4E73"/>
    <w:rsid w:val="000A59E1"/>
    <w:rsid w:val="000A79F2"/>
    <w:rsid w:val="000B1BD2"/>
    <w:rsid w:val="000B725F"/>
    <w:rsid w:val="000C0F0D"/>
    <w:rsid w:val="000C11E1"/>
    <w:rsid w:val="000C13BC"/>
    <w:rsid w:val="000C4A5D"/>
    <w:rsid w:val="000C66EE"/>
    <w:rsid w:val="000D28E5"/>
    <w:rsid w:val="000D34D7"/>
    <w:rsid w:val="000D64B6"/>
    <w:rsid w:val="000D7329"/>
    <w:rsid w:val="000E4EAC"/>
    <w:rsid w:val="000F657C"/>
    <w:rsid w:val="00100633"/>
    <w:rsid w:val="00106FAB"/>
    <w:rsid w:val="001072BC"/>
    <w:rsid w:val="00114BD6"/>
    <w:rsid w:val="00130F6D"/>
    <w:rsid w:val="00131133"/>
    <w:rsid w:val="00133554"/>
    <w:rsid w:val="00142C66"/>
    <w:rsid w:val="00143F59"/>
    <w:rsid w:val="00144082"/>
    <w:rsid w:val="00147389"/>
    <w:rsid w:val="00153DD8"/>
    <w:rsid w:val="0016381F"/>
    <w:rsid w:val="00163A48"/>
    <w:rsid w:val="00164BA3"/>
    <w:rsid w:val="00164E36"/>
    <w:rsid w:val="001678A2"/>
    <w:rsid w:val="00172A27"/>
    <w:rsid w:val="00183AA1"/>
    <w:rsid w:val="0018767C"/>
    <w:rsid w:val="001A085B"/>
    <w:rsid w:val="001A135C"/>
    <w:rsid w:val="001A4C95"/>
    <w:rsid w:val="001B0D49"/>
    <w:rsid w:val="001B546F"/>
    <w:rsid w:val="001B55A9"/>
    <w:rsid w:val="001C16FC"/>
    <w:rsid w:val="001C2E3E"/>
    <w:rsid w:val="001C388D"/>
    <w:rsid w:val="001E0494"/>
    <w:rsid w:val="001E1D2D"/>
    <w:rsid w:val="001E5A17"/>
    <w:rsid w:val="001F284E"/>
    <w:rsid w:val="001F332E"/>
    <w:rsid w:val="00217861"/>
    <w:rsid w:val="002204E4"/>
    <w:rsid w:val="002211BF"/>
    <w:rsid w:val="0023365B"/>
    <w:rsid w:val="00233F15"/>
    <w:rsid w:val="002420F1"/>
    <w:rsid w:val="00242662"/>
    <w:rsid w:val="00253AC8"/>
    <w:rsid w:val="00256B39"/>
    <w:rsid w:val="0026033C"/>
    <w:rsid w:val="00261234"/>
    <w:rsid w:val="00261409"/>
    <w:rsid w:val="00262053"/>
    <w:rsid w:val="002645FD"/>
    <w:rsid w:val="00271BE3"/>
    <w:rsid w:val="0027339A"/>
    <w:rsid w:val="00273B23"/>
    <w:rsid w:val="00274E82"/>
    <w:rsid w:val="002757AB"/>
    <w:rsid w:val="0027777C"/>
    <w:rsid w:val="00277FE7"/>
    <w:rsid w:val="002811C2"/>
    <w:rsid w:val="002877FA"/>
    <w:rsid w:val="00290962"/>
    <w:rsid w:val="0029110B"/>
    <w:rsid w:val="002A305C"/>
    <w:rsid w:val="002A4649"/>
    <w:rsid w:val="002A7227"/>
    <w:rsid w:val="002B0773"/>
    <w:rsid w:val="002B0C48"/>
    <w:rsid w:val="002B13CA"/>
    <w:rsid w:val="002B3650"/>
    <w:rsid w:val="002B5821"/>
    <w:rsid w:val="002B7322"/>
    <w:rsid w:val="002C58B6"/>
    <w:rsid w:val="002D0E86"/>
    <w:rsid w:val="002D4464"/>
    <w:rsid w:val="002D525C"/>
    <w:rsid w:val="002D7C47"/>
    <w:rsid w:val="002E33CE"/>
    <w:rsid w:val="002E3721"/>
    <w:rsid w:val="002E5925"/>
    <w:rsid w:val="002E6F95"/>
    <w:rsid w:val="002E764D"/>
    <w:rsid w:val="002F3157"/>
    <w:rsid w:val="002F6BD5"/>
    <w:rsid w:val="00301D1E"/>
    <w:rsid w:val="00305F23"/>
    <w:rsid w:val="0031180E"/>
    <w:rsid w:val="00313BBA"/>
    <w:rsid w:val="00317E29"/>
    <w:rsid w:val="00321515"/>
    <w:rsid w:val="0032602E"/>
    <w:rsid w:val="00327B8C"/>
    <w:rsid w:val="00331638"/>
    <w:rsid w:val="00333BCE"/>
    <w:rsid w:val="003344A7"/>
    <w:rsid w:val="003345C3"/>
    <w:rsid w:val="00334623"/>
    <w:rsid w:val="003367AE"/>
    <w:rsid w:val="00340439"/>
    <w:rsid w:val="00344EF2"/>
    <w:rsid w:val="00347EB8"/>
    <w:rsid w:val="00347F80"/>
    <w:rsid w:val="00351BFF"/>
    <w:rsid w:val="00353F74"/>
    <w:rsid w:val="003557DE"/>
    <w:rsid w:val="00356405"/>
    <w:rsid w:val="00361BEB"/>
    <w:rsid w:val="00363C65"/>
    <w:rsid w:val="00363E9E"/>
    <w:rsid w:val="00370184"/>
    <w:rsid w:val="00373C8A"/>
    <w:rsid w:val="00377C10"/>
    <w:rsid w:val="00384A1F"/>
    <w:rsid w:val="00384D60"/>
    <w:rsid w:val="00385D41"/>
    <w:rsid w:val="003861BA"/>
    <w:rsid w:val="0038707A"/>
    <w:rsid w:val="0038725C"/>
    <w:rsid w:val="003A1680"/>
    <w:rsid w:val="003A373C"/>
    <w:rsid w:val="003A5874"/>
    <w:rsid w:val="003B1258"/>
    <w:rsid w:val="003B23C9"/>
    <w:rsid w:val="003B4A81"/>
    <w:rsid w:val="003C1F8D"/>
    <w:rsid w:val="003C2D9B"/>
    <w:rsid w:val="003C61A5"/>
    <w:rsid w:val="003D012F"/>
    <w:rsid w:val="003D01A9"/>
    <w:rsid w:val="003D1968"/>
    <w:rsid w:val="003D4994"/>
    <w:rsid w:val="003D623D"/>
    <w:rsid w:val="003E10A5"/>
    <w:rsid w:val="003E5AA0"/>
    <w:rsid w:val="003E7D72"/>
    <w:rsid w:val="003F3923"/>
    <w:rsid w:val="003F43F6"/>
    <w:rsid w:val="003F590A"/>
    <w:rsid w:val="004019DB"/>
    <w:rsid w:val="00402B67"/>
    <w:rsid w:val="00403C91"/>
    <w:rsid w:val="0040433E"/>
    <w:rsid w:val="00404974"/>
    <w:rsid w:val="00406ECF"/>
    <w:rsid w:val="0040726A"/>
    <w:rsid w:val="004100B0"/>
    <w:rsid w:val="0041267F"/>
    <w:rsid w:val="004142D3"/>
    <w:rsid w:val="00424BA5"/>
    <w:rsid w:val="004253C4"/>
    <w:rsid w:val="00425431"/>
    <w:rsid w:val="00431829"/>
    <w:rsid w:val="00437B60"/>
    <w:rsid w:val="004405E6"/>
    <w:rsid w:val="004426F1"/>
    <w:rsid w:val="00443C84"/>
    <w:rsid w:val="00443C89"/>
    <w:rsid w:val="00452B7D"/>
    <w:rsid w:val="004540AA"/>
    <w:rsid w:val="00456BD8"/>
    <w:rsid w:val="00456DC8"/>
    <w:rsid w:val="0046549D"/>
    <w:rsid w:val="00471668"/>
    <w:rsid w:val="004747B8"/>
    <w:rsid w:val="00480CCF"/>
    <w:rsid w:val="00481F98"/>
    <w:rsid w:val="004852BF"/>
    <w:rsid w:val="00487A46"/>
    <w:rsid w:val="00493504"/>
    <w:rsid w:val="00494579"/>
    <w:rsid w:val="00497334"/>
    <w:rsid w:val="004A3DAC"/>
    <w:rsid w:val="004A4645"/>
    <w:rsid w:val="004A5FE0"/>
    <w:rsid w:val="004A6F3A"/>
    <w:rsid w:val="004B1442"/>
    <w:rsid w:val="004B408D"/>
    <w:rsid w:val="004B6F68"/>
    <w:rsid w:val="004B6FA2"/>
    <w:rsid w:val="004B73F7"/>
    <w:rsid w:val="004C1E8A"/>
    <w:rsid w:val="004C5B36"/>
    <w:rsid w:val="004D3745"/>
    <w:rsid w:val="004D4FB3"/>
    <w:rsid w:val="004D6A55"/>
    <w:rsid w:val="004D75A6"/>
    <w:rsid w:val="004E3456"/>
    <w:rsid w:val="004F0221"/>
    <w:rsid w:val="004F3DF0"/>
    <w:rsid w:val="005074E1"/>
    <w:rsid w:val="005126F1"/>
    <w:rsid w:val="00513F2F"/>
    <w:rsid w:val="0051403F"/>
    <w:rsid w:val="0051612A"/>
    <w:rsid w:val="00517176"/>
    <w:rsid w:val="0052192E"/>
    <w:rsid w:val="00524300"/>
    <w:rsid w:val="00541F72"/>
    <w:rsid w:val="00542388"/>
    <w:rsid w:val="00543FC6"/>
    <w:rsid w:val="00544523"/>
    <w:rsid w:val="005467DC"/>
    <w:rsid w:val="00546A82"/>
    <w:rsid w:val="00547C51"/>
    <w:rsid w:val="00551335"/>
    <w:rsid w:val="005519BB"/>
    <w:rsid w:val="005523FD"/>
    <w:rsid w:val="00553D03"/>
    <w:rsid w:val="00555BA0"/>
    <w:rsid w:val="00556E41"/>
    <w:rsid w:val="0057496F"/>
    <w:rsid w:val="005770A6"/>
    <w:rsid w:val="00587164"/>
    <w:rsid w:val="0059045B"/>
    <w:rsid w:val="00591EDE"/>
    <w:rsid w:val="005940D6"/>
    <w:rsid w:val="00596E16"/>
    <w:rsid w:val="00597EC2"/>
    <w:rsid w:val="005A13AB"/>
    <w:rsid w:val="005B1150"/>
    <w:rsid w:val="005B1FFC"/>
    <w:rsid w:val="005B2B6D"/>
    <w:rsid w:val="005B4B4E"/>
    <w:rsid w:val="005C3A76"/>
    <w:rsid w:val="005D5B6F"/>
    <w:rsid w:val="005E38A5"/>
    <w:rsid w:val="005E7118"/>
    <w:rsid w:val="005F5185"/>
    <w:rsid w:val="00603355"/>
    <w:rsid w:val="00604E27"/>
    <w:rsid w:val="006179AB"/>
    <w:rsid w:val="0062115C"/>
    <w:rsid w:val="00622101"/>
    <w:rsid w:val="0062265B"/>
    <w:rsid w:val="00624B5C"/>
    <w:rsid w:val="00624FE1"/>
    <w:rsid w:val="0062577D"/>
    <w:rsid w:val="0063249D"/>
    <w:rsid w:val="006331EE"/>
    <w:rsid w:val="00633E09"/>
    <w:rsid w:val="006355E6"/>
    <w:rsid w:val="00637463"/>
    <w:rsid w:val="00637E00"/>
    <w:rsid w:val="0064038A"/>
    <w:rsid w:val="00644D2E"/>
    <w:rsid w:val="0065167D"/>
    <w:rsid w:val="00652D13"/>
    <w:rsid w:val="00663346"/>
    <w:rsid w:val="0066595A"/>
    <w:rsid w:val="00666206"/>
    <w:rsid w:val="00672788"/>
    <w:rsid w:val="00676183"/>
    <w:rsid w:val="00680DA3"/>
    <w:rsid w:val="0068377F"/>
    <w:rsid w:val="00686A9E"/>
    <w:rsid w:val="00691B24"/>
    <w:rsid w:val="00695B93"/>
    <w:rsid w:val="00696887"/>
    <w:rsid w:val="00697C16"/>
    <w:rsid w:val="006A2E65"/>
    <w:rsid w:val="006A5A89"/>
    <w:rsid w:val="006B3BB9"/>
    <w:rsid w:val="006B48AC"/>
    <w:rsid w:val="006B5977"/>
    <w:rsid w:val="006D1B59"/>
    <w:rsid w:val="006D2F9C"/>
    <w:rsid w:val="006D4351"/>
    <w:rsid w:val="006D5424"/>
    <w:rsid w:val="006E5CA9"/>
    <w:rsid w:val="006E5E98"/>
    <w:rsid w:val="006E7A37"/>
    <w:rsid w:val="006F0D42"/>
    <w:rsid w:val="006F127F"/>
    <w:rsid w:val="006F3151"/>
    <w:rsid w:val="006F4897"/>
    <w:rsid w:val="006F6A1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53F9"/>
    <w:rsid w:val="00750501"/>
    <w:rsid w:val="00761B3B"/>
    <w:rsid w:val="00764FD9"/>
    <w:rsid w:val="007740B2"/>
    <w:rsid w:val="00774C1F"/>
    <w:rsid w:val="0078194F"/>
    <w:rsid w:val="007934A4"/>
    <w:rsid w:val="007A0AC9"/>
    <w:rsid w:val="007A1B70"/>
    <w:rsid w:val="007A5157"/>
    <w:rsid w:val="007A57F6"/>
    <w:rsid w:val="007A6D94"/>
    <w:rsid w:val="007B45B6"/>
    <w:rsid w:val="007B4FFB"/>
    <w:rsid w:val="007C0BCE"/>
    <w:rsid w:val="007C1D1B"/>
    <w:rsid w:val="007C30C5"/>
    <w:rsid w:val="007C3566"/>
    <w:rsid w:val="007C7718"/>
    <w:rsid w:val="007C794A"/>
    <w:rsid w:val="007D3BC0"/>
    <w:rsid w:val="007D3D44"/>
    <w:rsid w:val="007D5326"/>
    <w:rsid w:val="007D5A33"/>
    <w:rsid w:val="007E02FC"/>
    <w:rsid w:val="007E4F3A"/>
    <w:rsid w:val="007E620F"/>
    <w:rsid w:val="007E663C"/>
    <w:rsid w:val="007E7795"/>
    <w:rsid w:val="0080066B"/>
    <w:rsid w:val="00803578"/>
    <w:rsid w:val="008062FB"/>
    <w:rsid w:val="00813E26"/>
    <w:rsid w:val="00815B8D"/>
    <w:rsid w:val="00815B8E"/>
    <w:rsid w:val="00816D99"/>
    <w:rsid w:val="0082324C"/>
    <w:rsid w:val="00823D71"/>
    <w:rsid w:val="008245AF"/>
    <w:rsid w:val="008256B9"/>
    <w:rsid w:val="00831C61"/>
    <w:rsid w:val="0083705D"/>
    <w:rsid w:val="0084242F"/>
    <w:rsid w:val="00845795"/>
    <w:rsid w:val="00847437"/>
    <w:rsid w:val="00851DAD"/>
    <w:rsid w:val="008526CB"/>
    <w:rsid w:val="00874101"/>
    <w:rsid w:val="00875FE8"/>
    <w:rsid w:val="00882E15"/>
    <w:rsid w:val="00883C73"/>
    <w:rsid w:val="008901A2"/>
    <w:rsid w:val="00891523"/>
    <w:rsid w:val="0089402C"/>
    <w:rsid w:val="008A08B0"/>
    <w:rsid w:val="008A64E6"/>
    <w:rsid w:val="008B0385"/>
    <w:rsid w:val="008B1082"/>
    <w:rsid w:val="008B188E"/>
    <w:rsid w:val="008B397C"/>
    <w:rsid w:val="008B3CB1"/>
    <w:rsid w:val="008B47F4"/>
    <w:rsid w:val="008B4B33"/>
    <w:rsid w:val="008B571B"/>
    <w:rsid w:val="008B7448"/>
    <w:rsid w:val="008B7E1E"/>
    <w:rsid w:val="008C2AE6"/>
    <w:rsid w:val="008C2DE8"/>
    <w:rsid w:val="008C5113"/>
    <w:rsid w:val="008C5B8A"/>
    <w:rsid w:val="008D0978"/>
    <w:rsid w:val="008D3D5F"/>
    <w:rsid w:val="008D4E81"/>
    <w:rsid w:val="008D505F"/>
    <w:rsid w:val="008E0F55"/>
    <w:rsid w:val="008E585B"/>
    <w:rsid w:val="008F253F"/>
    <w:rsid w:val="008F7F31"/>
    <w:rsid w:val="00900019"/>
    <w:rsid w:val="009023B1"/>
    <w:rsid w:val="00907932"/>
    <w:rsid w:val="009147D6"/>
    <w:rsid w:val="00914D98"/>
    <w:rsid w:val="00925F8C"/>
    <w:rsid w:val="00927324"/>
    <w:rsid w:val="009328D7"/>
    <w:rsid w:val="00932ED7"/>
    <w:rsid w:val="00932FBE"/>
    <w:rsid w:val="00933990"/>
    <w:rsid w:val="00941B89"/>
    <w:rsid w:val="00941DEA"/>
    <w:rsid w:val="009603C6"/>
    <w:rsid w:val="009656CC"/>
    <w:rsid w:val="00970E8C"/>
    <w:rsid w:val="00971671"/>
    <w:rsid w:val="00981A37"/>
    <w:rsid w:val="009830B2"/>
    <w:rsid w:val="0099063E"/>
    <w:rsid w:val="00992356"/>
    <w:rsid w:val="00992674"/>
    <w:rsid w:val="00994793"/>
    <w:rsid w:val="00996AE3"/>
    <w:rsid w:val="009A0450"/>
    <w:rsid w:val="009A1E27"/>
    <w:rsid w:val="009A307B"/>
    <w:rsid w:val="009A451A"/>
    <w:rsid w:val="009B04E7"/>
    <w:rsid w:val="009B14E8"/>
    <w:rsid w:val="009B4D21"/>
    <w:rsid w:val="009B5A73"/>
    <w:rsid w:val="009C204E"/>
    <w:rsid w:val="009C54C9"/>
    <w:rsid w:val="009C589C"/>
    <w:rsid w:val="009D192B"/>
    <w:rsid w:val="009D2582"/>
    <w:rsid w:val="009D33E1"/>
    <w:rsid w:val="009D3B45"/>
    <w:rsid w:val="009D7CF9"/>
    <w:rsid w:val="009E2CCC"/>
    <w:rsid w:val="009E2CDD"/>
    <w:rsid w:val="009E366E"/>
    <w:rsid w:val="009E58C7"/>
    <w:rsid w:val="009E5F42"/>
    <w:rsid w:val="009E6FC4"/>
    <w:rsid w:val="009F00DC"/>
    <w:rsid w:val="009F3199"/>
    <w:rsid w:val="009F3355"/>
    <w:rsid w:val="009F3648"/>
    <w:rsid w:val="009F3697"/>
    <w:rsid w:val="009F3B7A"/>
    <w:rsid w:val="009F54D0"/>
    <w:rsid w:val="00A04523"/>
    <w:rsid w:val="00A16159"/>
    <w:rsid w:val="00A161E6"/>
    <w:rsid w:val="00A17885"/>
    <w:rsid w:val="00A2337D"/>
    <w:rsid w:val="00A25A31"/>
    <w:rsid w:val="00A31BBE"/>
    <w:rsid w:val="00A31D34"/>
    <w:rsid w:val="00A333EF"/>
    <w:rsid w:val="00A33F85"/>
    <w:rsid w:val="00A341B0"/>
    <w:rsid w:val="00A34AF8"/>
    <w:rsid w:val="00A40645"/>
    <w:rsid w:val="00A6016C"/>
    <w:rsid w:val="00A74B00"/>
    <w:rsid w:val="00A769B1"/>
    <w:rsid w:val="00A77DA3"/>
    <w:rsid w:val="00A837D5"/>
    <w:rsid w:val="00A83E04"/>
    <w:rsid w:val="00A87F9C"/>
    <w:rsid w:val="00A91091"/>
    <w:rsid w:val="00A93EE3"/>
    <w:rsid w:val="00A94BA9"/>
    <w:rsid w:val="00A976A4"/>
    <w:rsid w:val="00AA4970"/>
    <w:rsid w:val="00AA536D"/>
    <w:rsid w:val="00AA5C3A"/>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16924"/>
    <w:rsid w:val="00B21BEE"/>
    <w:rsid w:val="00B23284"/>
    <w:rsid w:val="00B338E6"/>
    <w:rsid w:val="00B37D43"/>
    <w:rsid w:val="00B46F21"/>
    <w:rsid w:val="00B511A5"/>
    <w:rsid w:val="00B51CDE"/>
    <w:rsid w:val="00B56541"/>
    <w:rsid w:val="00B605ED"/>
    <w:rsid w:val="00B71F97"/>
    <w:rsid w:val="00B72538"/>
    <w:rsid w:val="00B736A7"/>
    <w:rsid w:val="00B7651F"/>
    <w:rsid w:val="00B919FA"/>
    <w:rsid w:val="00B94A16"/>
    <w:rsid w:val="00B96B85"/>
    <w:rsid w:val="00BA6044"/>
    <w:rsid w:val="00BA6441"/>
    <w:rsid w:val="00BB1A93"/>
    <w:rsid w:val="00BB2350"/>
    <w:rsid w:val="00BC14BF"/>
    <w:rsid w:val="00BC1B10"/>
    <w:rsid w:val="00BC2625"/>
    <w:rsid w:val="00BC303E"/>
    <w:rsid w:val="00BC3200"/>
    <w:rsid w:val="00BC338A"/>
    <w:rsid w:val="00BD7AB0"/>
    <w:rsid w:val="00BE04ED"/>
    <w:rsid w:val="00BE2696"/>
    <w:rsid w:val="00BF3C20"/>
    <w:rsid w:val="00C011BC"/>
    <w:rsid w:val="00C03DBA"/>
    <w:rsid w:val="00C112E7"/>
    <w:rsid w:val="00C11C78"/>
    <w:rsid w:val="00C11CD4"/>
    <w:rsid w:val="00C15061"/>
    <w:rsid w:val="00C15084"/>
    <w:rsid w:val="00C1713D"/>
    <w:rsid w:val="00C20D9D"/>
    <w:rsid w:val="00C2134F"/>
    <w:rsid w:val="00C24718"/>
    <w:rsid w:val="00C2675D"/>
    <w:rsid w:val="00C30AEE"/>
    <w:rsid w:val="00C33362"/>
    <w:rsid w:val="00C353AE"/>
    <w:rsid w:val="00C4194E"/>
    <w:rsid w:val="00C4308E"/>
    <w:rsid w:val="00C46ADA"/>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5E80"/>
    <w:rsid w:val="00CA6928"/>
    <w:rsid w:val="00CB3D3F"/>
    <w:rsid w:val="00CB5A1A"/>
    <w:rsid w:val="00CC0799"/>
    <w:rsid w:val="00CC59E6"/>
    <w:rsid w:val="00CD5BDD"/>
    <w:rsid w:val="00CE7C03"/>
    <w:rsid w:val="00CF096B"/>
    <w:rsid w:val="00CF10F7"/>
    <w:rsid w:val="00CF5EE3"/>
    <w:rsid w:val="00CF691F"/>
    <w:rsid w:val="00D00D99"/>
    <w:rsid w:val="00D013A4"/>
    <w:rsid w:val="00D026DC"/>
    <w:rsid w:val="00D15595"/>
    <w:rsid w:val="00D343A8"/>
    <w:rsid w:val="00D343F8"/>
    <w:rsid w:val="00D35AAA"/>
    <w:rsid w:val="00D371E6"/>
    <w:rsid w:val="00D37832"/>
    <w:rsid w:val="00D44860"/>
    <w:rsid w:val="00D47689"/>
    <w:rsid w:val="00D50C42"/>
    <w:rsid w:val="00D57CF5"/>
    <w:rsid w:val="00D612BC"/>
    <w:rsid w:val="00D62F98"/>
    <w:rsid w:val="00D66FD6"/>
    <w:rsid w:val="00D8285B"/>
    <w:rsid w:val="00D862EB"/>
    <w:rsid w:val="00D86619"/>
    <w:rsid w:val="00D92E0D"/>
    <w:rsid w:val="00D93E7C"/>
    <w:rsid w:val="00DA7089"/>
    <w:rsid w:val="00DB06C2"/>
    <w:rsid w:val="00DB075A"/>
    <w:rsid w:val="00DB2BE6"/>
    <w:rsid w:val="00DB76B3"/>
    <w:rsid w:val="00DC60DF"/>
    <w:rsid w:val="00DD1052"/>
    <w:rsid w:val="00DD3C7B"/>
    <w:rsid w:val="00DD416B"/>
    <w:rsid w:val="00DD5FB3"/>
    <w:rsid w:val="00DD7563"/>
    <w:rsid w:val="00DE2B21"/>
    <w:rsid w:val="00DE48DE"/>
    <w:rsid w:val="00DF02D8"/>
    <w:rsid w:val="00DF0F3D"/>
    <w:rsid w:val="00DF25F2"/>
    <w:rsid w:val="00DF4166"/>
    <w:rsid w:val="00E000F4"/>
    <w:rsid w:val="00E01231"/>
    <w:rsid w:val="00E04279"/>
    <w:rsid w:val="00E11393"/>
    <w:rsid w:val="00E125D9"/>
    <w:rsid w:val="00E13491"/>
    <w:rsid w:val="00E16D30"/>
    <w:rsid w:val="00E21D76"/>
    <w:rsid w:val="00E27AE0"/>
    <w:rsid w:val="00E31E69"/>
    <w:rsid w:val="00E33169"/>
    <w:rsid w:val="00E34A7B"/>
    <w:rsid w:val="00E40973"/>
    <w:rsid w:val="00E425F3"/>
    <w:rsid w:val="00E545FF"/>
    <w:rsid w:val="00E6080E"/>
    <w:rsid w:val="00E64168"/>
    <w:rsid w:val="00E655B3"/>
    <w:rsid w:val="00E7002F"/>
    <w:rsid w:val="00E7081D"/>
    <w:rsid w:val="00E70904"/>
    <w:rsid w:val="00E71319"/>
    <w:rsid w:val="00E721C1"/>
    <w:rsid w:val="00E75171"/>
    <w:rsid w:val="00E804B0"/>
    <w:rsid w:val="00E86772"/>
    <w:rsid w:val="00E90B8B"/>
    <w:rsid w:val="00E93ADD"/>
    <w:rsid w:val="00E952D8"/>
    <w:rsid w:val="00EA77F8"/>
    <w:rsid w:val="00EA7F12"/>
    <w:rsid w:val="00EB00E4"/>
    <w:rsid w:val="00EB18FF"/>
    <w:rsid w:val="00EB28DA"/>
    <w:rsid w:val="00EB3812"/>
    <w:rsid w:val="00EB44A7"/>
    <w:rsid w:val="00EB44EB"/>
    <w:rsid w:val="00EB66B8"/>
    <w:rsid w:val="00EB752B"/>
    <w:rsid w:val="00EB791E"/>
    <w:rsid w:val="00EC3DE8"/>
    <w:rsid w:val="00EC70A9"/>
    <w:rsid w:val="00ED4C3A"/>
    <w:rsid w:val="00EE1C85"/>
    <w:rsid w:val="00EF21D9"/>
    <w:rsid w:val="00EF2A94"/>
    <w:rsid w:val="00EF32FB"/>
    <w:rsid w:val="00EF44B1"/>
    <w:rsid w:val="00EF4865"/>
    <w:rsid w:val="00EF5954"/>
    <w:rsid w:val="00EF6CEC"/>
    <w:rsid w:val="00F00E27"/>
    <w:rsid w:val="00F100D2"/>
    <w:rsid w:val="00F12942"/>
    <w:rsid w:val="00F13C41"/>
    <w:rsid w:val="00F14886"/>
    <w:rsid w:val="00F16421"/>
    <w:rsid w:val="00F201EE"/>
    <w:rsid w:val="00F35AA0"/>
    <w:rsid w:val="00F363AA"/>
    <w:rsid w:val="00F43C49"/>
    <w:rsid w:val="00F45C12"/>
    <w:rsid w:val="00F51CA3"/>
    <w:rsid w:val="00F5444E"/>
    <w:rsid w:val="00F544A2"/>
    <w:rsid w:val="00F71392"/>
    <w:rsid w:val="00F73D03"/>
    <w:rsid w:val="00F76CB9"/>
    <w:rsid w:val="00F77A73"/>
    <w:rsid w:val="00F80E46"/>
    <w:rsid w:val="00F8501A"/>
    <w:rsid w:val="00F87A97"/>
    <w:rsid w:val="00F96236"/>
    <w:rsid w:val="00FA10CE"/>
    <w:rsid w:val="00FA222F"/>
    <w:rsid w:val="00FA2891"/>
    <w:rsid w:val="00FB2976"/>
    <w:rsid w:val="00FB693D"/>
    <w:rsid w:val="00FB7768"/>
    <w:rsid w:val="00FC6FA5"/>
    <w:rsid w:val="00FC7489"/>
    <w:rsid w:val="00FD1BA8"/>
    <w:rsid w:val="00FD218F"/>
    <w:rsid w:val="00FD5663"/>
    <w:rsid w:val="00FD56C6"/>
    <w:rsid w:val="00FE3221"/>
    <w:rsid w:val="00FE48EA"/>
    <w:rsid w:val="00FE571F"/>
    <w:rsid w:val="00FF0698"/>
    <w:rsid w:val="00FF08F6"/>
    <w:rsid w:val="00FF47F6"/>
    <w:rsid w:val="00FF6759"/>
    <w:rsid w:val="016E63C2"/>
    <w:rsid w:val="024B0C39"/>
    <w:rsid w:val="031E278B"/>
    <w:rsid w:val="0A8128A6"/>
    <w:rsid w:val="0BF32A1B"/>
    <w:rsid w:val="10BD2C22"/>
    <w:rsid w:val="22987C80"/>
    <w:rsid w:val="23EE1EFC"/>
    <w:rsid w:val="24192CCC"/>
    <w:rsid w:val="25FB36EC"/>
    <w:rsid w:val="275A59B4"/>
    <w:rsid w:val="341C228B"/>
    <w:rsid w:val="39A66CD4"/>
    <w:rsid w:val="3CD52CE1"/>
    <w:rsid w:val="410F2E6A"/>
    <w:rsid w:val="4430136C"/>
    <w:rsid w:val="45260E40"/>
    <w:rsid w:val="478657BA"/>
    <w:rsid w:val="4AB0382B"/>
    <w:rsid w:val="4CF84CBE"/>
    <w:rsid w:val="50115BCE"/>
    <w:rsid w:val="559971D5"/>
    <w:rsid w:val="569868B5"/>
    <w:rsid w:val="5A45569F"/>
    <w:rsid w:val="611F6817"/>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5940</Words>
  <Characters>7043</Characters>
  <Lines>57</Lines>
  <Paragraphs>16</Paragraphs>
  <TotalTime>0</TotalTime>
  <ScaleCrop>false</ScaleCrop>
  <LinksUpToDate>false</LinksUpToDate>
  <CharactersWithSpaces>7444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2024-09-04T14:49:00Z</dcterms:created>
  <dc:creator>juvg</dc:creator>
  <cp:lastModifiedBy>奶茶</cp:lastModifiedBy>
  <cp:lastPrinted>2023-11-21T00:52:00Z</cp:lastPrinted>
  <dcterms:modified xsi:type="dcterms:W3CDTF">2024-09-27T07:01:48Z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75A5950F35E44E4099B8E2C8E0EA07EF_12</vt:lpwstr>
  </property>
</Properties>
</file>