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D78B3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《莎士比亚作品选读》本科课程教学大纲</w:t>
      </w:r>
    </w:p>
    <w:p w14:paraId="5DFC2A7D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731"/>
        <w:gridCol w:w="2315"/>
        <w:gridCol w:w="1303"/>
        <w:gridCol w:w="875"/>
        <w:gridCol w:w="585"/>
        <w:gridCol w:w="862"/>
        <w:gridCol w:w="805"/>
      </w:tblGrid>
      <w:tr w14:paraId="63F3B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73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DF6F7D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745" w:type="dxa"/>
            <w:gridSpan w:val="6"/>
            <w:tcBorders>
              <w:top w:val="single" w:color="auto" w:sz="12" w:space="0"/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8EEBA9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莎士比亚作品选读</w:t>
            </w:r>
          </w:p>
        </w:tc>
      </w:tr>
      <w:tr w14:paraId="4437E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731" w:type="dxa"/>
            <w:vMerge w:val="continue"/>
            <w:tcBorders>
              <w:left w:val="single" w:color="auto" w:sz="12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895B80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5" w:type="dxa"/>
            <w:gridSpan w:val="6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2C2BF76">
            <w:pPr>
              <w:widowControl w:val="0"/>
              <w:jc w:val="left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Selected Readings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from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Shakespeare</w:t>
            </w:r>
          </w:p>
        </w:tc>
      </w:tr>
      <w:tr w14:paraId="2F739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731" w:type="dxa"/>
            <w:tcBorders>
              <w:left w:val="single" w:color="auto" w:sz="12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05490B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31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73F6B35">
            <w:pPr>
              <w:widowControl w:val="0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2020249</w:t>
            </w:r>
          </w:p>
        </w:tc>
        <w:tc>
          <w:tcPr>
            <w:tcW w:w="2178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7009DB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252" w:type="dxa"/>
            <w:gridSpan w:val="3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DAFE1BC"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B5AD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731" w:type="dxa"/>
            <w:tcBorders>
              <w:left w:val="single" w:color="auto" w:sz="12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FAB9C9C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31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5A40468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0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049EDD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7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F350AEC"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47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0F0C8B7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805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050EB2C"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 w14:paraId="2FDBB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731" w:type="dxa"/>
            <w:tcBorders>
              <w:left w:val="single" w:color="auto" w:sz="12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6F2D5D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31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D02CAC4"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外国语学院英语系</w:t>
            </w:r>
          </w:p>
        </w:tc>
        <w:tc>
          <w:tcPr>
            <w:tcW w:w="2178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F29680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252" w:type="dxa"/>
            <w:gridSpan w:val="3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2883EBD"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英语专业三年级</w:t>
            </w:r>
          </w:p>
        </w:tc>
      </w:tr>
      <w:tr w14:paraId="7AFF4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731" w:type="dxa"/>
            <w:tcBorders>
              <w:left w:val="single" w:color="auto" w:sz="12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B2D80B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31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BB06565"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78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92E96E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252" w:type="dxa"/>
            <w:gridSpan w:val="3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B5FF323"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22C33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731" w:type="dxa"/>
            <w:tcBorders>
              <w:left w:val="single" w:color="auto" w:sz="12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EBA420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493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A83A171">
            <w:pPr>
              <w:widowControl w:val="0"/>
              <w:jc w:val="both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张冲，张琼，《莎士比亚选读》（第一版），北京：高等教育出版社，2009年3月，2011年5月重印。</w:t>
            </w:r>
          </w:p>
        </w:tc>
        <w:tc>
          <w:tcPr>
            <w:tcW w:w="1447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6D54DE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201A9FA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805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86C0331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70906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74" w:hRule="atLeast"/>
        </w:trPr>
        <w:tc>
          <w:tcPr>
            <w:tcW w:w="1731" w:type="dxa"/>
            <w:tcBorders>
              <w:left w:val="single" w:color="auto" w:sz="12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74B1E5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745" w:type="dxa"/>
            <w:gridSpan w:val="6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7D71012">
            <w:pPr>
              <w:pStyle w:val="15"/>
              <w:widowControl w:val="0"/>
              <w:jc w:val="both"/>
              <w:rPr>
                <w:rFonts w:eastAsia="黑体"/>
              </w:rPr>
            </w:pPr>
            <w:r>
              <w:rPr>
                <w:cap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大学英语》（1-2）或 综合英语（1-4）</w:t>
            </w:r>
          </w:p>
        </w:tc>
      </w:tr>
      <w:tr w14:paraId="326E2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32" w:hRule="atLeast"/>
        </w:trPr>
        <w:tc>
          <w:tcPr>
            <w:tcW w:w="1731" w:type="dxa"/>
            <w:tcBorders>
              <w:left w:val="single" w:color="auto" w:sz="12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F8D8BE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745" w:type="dxa"/>
            <w:gridSpan w:val="6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43C2542">
            <w:pPr>
              <w:widowControl/>
              <w:spacing w:line="252" w:lineRule="atLeast"/>
              <w:ind w:firstLine="420"/>
              <w:jc w:val="left"/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《莎士比亚作品选读》课程是英语专业（本科）的一门专业选修课。</w:t>
            </w:r>
            <w:r>
              <w:rPr>
                <w:rFonts w:hint="eastAsia"/>
                <w:color w:val="000000" w:themeColor="text1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本课程为通过文本阅读和讨论、莎剧影视作品欣赏，以及莎剧排练和汇演，达到以下课程目标：了解莎士比亚的生平，其戏剧创作的历史、文化背景；对莎翁的剧作的故事梗概及其艺术特色作一概览性的把握，并欣赏其中较为著名的片段；对某一部剧本有深入的研读，提高原著阅读能力；探讨莎剧对于英美文学的影响；了解和欣赏以莎剧为题材的艺术作品，以及莎剧在现代影视艺术中的诠释；结合“莎士比亚艺术节”中的莎剧汇演，培养学生通过改编和排演莎剧从而深入理解莎翁戏剧的能力，以及团结协作、追求完美的精神。</w:t>
            </w:r>
          </w:p>
        </w:tc>
      </w:tr>
      <w:tr w14:paraId="453DE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399" w:hRule="atLeast"/>
        </w:trPr>
        <w:tc>
          <w:tcPr>
            <w:tcW w:w="173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793DEC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745" w:type="dxa"/>
            <w:gridSpan w:val="6"/>
            <w:tcBorders>
              <w:bottom w:val="double" w:color="auto" w:sz="4" w:space="0"/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ED61059">
            <w:pPr>
              <w:widowControl w:val="0"/>
              <w:snapToGrid w:val="0"/>
              <w:spacing w:line="288" w:lineRule="auto"/>
              <w:ind w:firstLine="420" w:firstLineChars="200"/>
              <w:jc w:val="both"/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莎士比亚作品选读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/>
                <w:sz w:val="20"/>
                <w:szCs w:val="20"/>
              </w:rPr>
              <w:t>为英语本科专业</w:t>
            </w:r>
            <w:r>
              <w:rPr>
                <w:rFonts w:hint="eastAsia"/>
                <w:color w:val="000000"/>
                <w:sz w:val="20"/>
                <w:szCs w:val="20"/>
              </w:rPr>
              <w:t>选修</w:t>
            </w:r>
            <w:r>
              <w:rPr>
                <w:color w:val="000000"/>
                <w:sz w:val="20"/>
                <w:szCs w:val="20"/>
              </w:rPr>
              <w:t>课</w:t>
            </w:r>
            <w:r>
              <w:rPr>
                <w:rFonts w:hint="eastAsia"/>
                <w:color w:val="000000"/>
                <w:sz w:val="20"/>
                <w:szCs w:val="20"/>
              </w:rPr>
              <w:t>，适合英语专业三年级学生第1学期学习，学习基础为修完《综合英语》、《英语阅读》等基础课程。要求学生具有一定的语法、词汇和阅读积累。</w:t>
            </w:r>
          </w:p>
        </w:tc>
      </w:tr>
      <w:tr w14:paraId="40887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40" w:hRule="atLeast"/>
        </w:trPr>
        <w:tc>
          <w:tcPr>
            <w:tcW w:w="173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29CF79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618" w:type="dxa"/>
            <w:gridSpan w:val="2"/>
            <w:tcBorders>
              <w:top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AD2543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198245" cy="365760"/>
                  <wp:effectExtent l="0" t="0" r="5715" b="0"/>
                  <wp:docPr id="1" name="图片 1" descr="刘现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刘现合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245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" w:type="dxa"/>
            <w:gridSpan w:val="2"/>
            <w:tcBorders>
              <w:top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1F664A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67" w:type="dxa"/>
            <w:gridSpan w:val="2"/>
            <w:tcBorders>
              <w:top w:val="double" w:color="auto" w:sz="4" w:space="0"/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47F3E5F">
            <w:pPr>
              <w:widowControl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2024年1月</w:t>
            </w:r>
          </w:p>
        </w:tc>
      </w:tr>
      <w:tr w14:paraId="65460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731" w:type="dxa"/>
            <w:tcBorders>
              <w:left w:val="single" w:color="auto" w:sz="12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EB2F61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618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298A80D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494030</wp:posOffset>
                  </wp:positionH>
                  <wp:positionV relativeFrom="paragraph">
                    <wp:posOffset>15875</wp:posOffset>
                  </wp:positionV>
                  <wp:extent cx="969645" cy="324485"/>
                  <wp:effectExtent l="0" t="0" r="1905" b="18415"/>
                  <wp:wrapNone/>
                  <wp:docPr id="118126927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269271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45" cy="324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60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573DBA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67" w:type="dxa"/>
            <w:gridSpan w:val="2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8BF7DB2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2024年1月</w:t>
            </w:r>
          </w:p>
        </w:tc>
      </w:tr>
      <w:tr w14:paraId="3CE15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73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B85859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618" w:type="dxa"/>
            <w:gridSpan w:val="2"/>
            <w:tcBorders>
              <w:bottom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C63FE13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702310" cy="415290"/>
                  <wp:effectExtent l="0" t="0" r="2540" b="3810"/>
                  <wp:docPr id="61962906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62906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10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60" w:type="dxa"/>
            <w:gridSpan w:val="2"/>
            <w:tcBorders>
              <w:bottom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3170C8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67" w:type="dxa"/>
            <w:gridSpan w:val="2"/>
            <w:tcBorders>
              <w:bottom w:val="single" w:color="auto" w:sz="12" w:space="0"/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648408E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2024年1月</w:t>
            </w:r>
          </w:p>
        </w:tc>
      </w:tr>
    </w:tbl>
    <w:p w14:paraId="2B4153D9">
      <w:pPr>
        <w:spacing w:line="100" w:lineRule="exact"/>
        <w:rPr>
          <w:rFonts w:ascii="Arial" w:hAnsi="Arial" w:eastAsia="黑体"/>
        </w:rPr>
      </w:pPr>
      <w:r>
        <w:br w:type="page"/>
      </w:r>
    </w:p>
    <w:p w14:paraId="043A6588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4F55C0A3">
      <w:pPr>
        <w:pStyle w:val="18"/>
        <w:spacing w:before="81" w:after="163" w:line="240" w:lineRule="auto"/>
        <w:ind w:left="120" w:leftChars="50" w:right="120" w:rightChars="50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753DE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7CC09D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9A1D0F9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FDABAD2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321E1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2BBD3C7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AB8708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0C0DE53">
            <w:pPr>
              <w:pStyle w:val="15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掌握莎士比亚戏剧和十四行诗等文学相关知识，具备戏剧文学欣赏与文本读写译及分析能力。</w:t>
            </w:r>
          </w:p>
        </w:tc>
      </w:tr>
      <w:tr w14:paraId="0F1B5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9A3AD3">
            <w:pPr>
              <w:pStyle w:val="15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CF83F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06C0B3">
            <w:pPr>
              <w:pStyle w:val="15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通过阅读莎士比亚作品，能够了解跨文化交际的背景知识，有国际竞争与合作意识。</w:t>
            </w:r>
          </w:p>
        </w:tc>
      </w:tr>
      <w:tr w14:paraId="0506A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6581E6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D93E07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D16F6CB">
            <w:pPr>
              <w:pStyle w:val="15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能通过参与小组活动对莎士比亚经典作品有全新的理解，并结合现实生活，培养学生参与团队，在团队中提出设想并施行的能力。</w:t>
            </w:r>
          </w:p>
        </w:tc>
      </w:tr>
      <w:tr w14:paraId="59957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A5FA76E">
            <w:pPr>
              <w:pStyle w:val="15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2A7154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EE746D8">
            <w:pPr>
              <w:pStyle w:val="15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能够学会主动搜集、获取达到目标所需要的学习资源，主动安排学习计划并给予实施、反思学习计划、持续改进，达到学习目标。</w:t>
            </w:r>
          </w:p>
        </w:tc>
      </w:tr>
      <w:tr w14:paraId="5A802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56BCED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23EA86B1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73DE87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D0B6DCE">
            <w:pPr>
              <w:pStyle w:val="15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能够用批判性思维对莎士比亚作品进行阅读分析，爱党爱国，坚决拥护党的领导，热爱祖国的大好河山，自觉维护民族利益和国家尊严，培养问题意识，通过分析文学作品，培养学生的思辨精神。</w:t>
            </w:r>
          </w:p>
        </w:tc>
      </w:tr>
      <w:tr w14:paraId="75EF0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22CEC30">
            <w:pPr>
              <w:pStyle w:val="15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06D956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7085699">
            <w:pPr>
              <w:pStyle w:val="15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通过阅读莎士比亚作品，陶冶情操，能够实现身心健康，学习和参与文学小组活动，通过探讨文学作品中的真善美主题，培养耐挫折能力，具有可持续发展的能力。</w:t>
            </w:r>
          </w:p>
        </w:tc>
      </w:tr>
    </w:tbl>
    <w:p w14:paraId="6E70693D">
      <w:pPr>
        <w:pStyle w:val="18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9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6"/>
      </w:tblGrid>
      <w:tr w14:paraId="4187D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82416B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cs="Times New Roman" w:eastAsiaTheme="minorEastAsia"/>
              </w:rPr>
              <w:t>LO</w:t>
            </w:r>
            <w:r>
              <w:rPr>
                <w:rFonts w:hint="eastAsia" w:asciiTheme="minorEastAsia" w:hAnsiTheme="minorEastAsia" w:eastAsiaTheme="minorEastAsia" w:cstheme="minorEastAsia"/>
              </w:rPr>
              <w:t>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4514943E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①爱党爱国，坚决拥护党的领导，热爱祖国的大好河山，悠久历史、灿烂文化，自觉维护民族利益和国家尊严。</w:t>
            </w:r>
          </w:p>
        </w:tc>
      </w:tr>
      <w:tr w14:paraId="3F594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29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35D86D1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cs="Times New Roman" w:eastAsiaTheme="minorEastAsia"/>
              </w:rPr>
              <w:t>LO</w:t>
            </w:r>
            <w:r>
              <w:rPr>
                <w:rFonts w:hint="eastAsia" w:ascii="宋体" w:hAnsi="宋体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专业能力：具有人文科学素养，具备从事某项工作或专业的理论知识、实践能力。</w:t>
            </w:r>
          </w:p>
          <w:p w14:paraId="0609C1B7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④掌握英语语言学、文学等相关知识，具备文学欣赏与文本分析能力。</w:t>
            </w:r>
          </w:p>
        </w:tc>
      </w:tr>
      <w:tr w14:paraId="2FCEE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04774DC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cs="Times New Roman" w:eastAsiaTheme="minorEastAsia"/>
              </w:rPr>
              <w:t>LO</w:t>
            </w:r>
            <w:r>
              <w:rPr>
                <w:rFonts w:hint="eastAsia" w:asciiTheme="minorEastAsia" w:hAnsiTheme="minorEastAsia" w:eastAsiaTheme="minorEastAsia" w:cstheme="minorEastAsia"/>
              </w:rPr>
              <w:t>5健康发展：懂得审美、热爱劳动、为人热忱、身心健康、耐挫折，具有可持续发展的能力。</w:t>
            </w:r>
          </w:p>
          <w:p w14:paraId="305B0B57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①身体健康，具有良好的卫生习惯，积极参加体育活动。</w:t>
            </w:r>
          </w:p>
        </w:tc>
      </w:tr>
      <w:tr w14:paraId="0A4AB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F649A7E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cs="Times New Roman" w:eastAsiaTheme="minorEastAsia"/>
              </w:rPr>
              <w:t>LO</w:t>
            </w:r>
            <w:r>
              <w:rPr>
                <w:rFonts w:hint="eastAsia" w:asciiTheme="minorEastAsia" w:hAnsiTheme="minorEastAsia" w:eastAsiaTheme="minorEastAsia" w:cstheme="minorEastAsia"/>
              </w:rPr>
              <w:t>6协同创新：同群体保持良好的合作关系，做集体中的积极成员，善于自我管理和团队管理；善于从多个维度思考问题，利用自己的知识与实践来提出新设想。</w:t>
            </w:r>
          </w:p>
          <w:p w14:paraId="41879ACE">
            <w:pPr>
              <w:widowControl/>
              <w:tabs>
                <w:tab w:val="left" w:pos="4200"/>
              </w:tabs>
              <w:spacing w:line="44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③能用创新的方法或者多种方法解决复杂问题或真实问题。</w:t>
            </w:r>
          </w:p>
        </w:tc>
      </w:tr>
    </w:tbl>
    <w:p w14:paraId="6EA1F396"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753"/>
        <w:gridCol w:w="1349"/>
      </w:tblGrid>
      <w:tr w14:paraId="20FBF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60AA4C5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1600D5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CEC41B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EA18FB3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712A2C9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12967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CD719FC">
            <w:pPr>
              <w:pStyle w:val="15"/>
            </w:pPr>
            <w:r>
              <w:rPr>
                <w:rFonts w:hint="eastAsia"/>
                <w:b/>
                <w:bCs/>
              </w:rPr>
              <w:t>LO</w:t>
            </w:r>
            <w:r>
              <w:rPr>
                <w:rFonts w:hint="eastAsia" w:ascii="宋体" w:hAnsi="宋体"/>
                <w:b/>
                <w:bCs/>
              </w:rPr>
              <w:t>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30CE2B6">
            <w:pPr>
              <w:pStyle w:val="15"/>
              <w:rPr>
                <w:rFonts w:cs="Times New Roman"/>
                <w:bCs/>
              </w:rPr>
            </w:pPr>
            <w:r>
              <w:rPr>
                <w:rFonts w:hint="eastAsia" w:ascii="宋体" w:hAnsi="宋体"/>
                <w:bCs/>
                <w:sz w:val="24"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0625E3A">
            <w:pPr>
              <w:pStyle w:val="15"/>
              <w:rPr>
                <w:rFonts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76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C57F15">
            <w:pPr>
              <w:pStyle w:val="15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5.能够用批判性思维对莎士比亚作品进行阅读分析，爱党爱国，坚决拥护党的领导，热爱祖国的大好河山，自觉维护民族利益和国家尊严，培养问题意识，通过分析文学作品，培养学生的思辨精神。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A92252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100%</w:t>
            </w:r>
          </w:p>
        </w:tc>
      </w:tr>
      <w:tr w14:paraId="4DE3C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136487B">
            <w:pPr>
              <w:pStyle w:val="15"/>
            </w:pPr>
            <w:r>
              <w:rPr>
                <w:rFonts w:hint="eastAsia"/>
                <w:b/>
                <w:bCs/>
              </w:rPr>
              <w:t>LO</w:t>
            </w:r>
            <w:r>
              <w:rPr>
                <w:rFonts w:hint="eastAsia" w:ascii="宋体" w:hAnsi="宋体"/>
                <w:b/>
                <w:bCs/>
              </w:rPr>
              <w:t>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A87728D">
            <w:pPr>
              <w:pStyle w:val="15"/>
              <w:rPr>
                <w:rFonts w:cs="Times New Roman"/>
                <w:bCs/>
              </w:rPr>
            </w:pPr>
            <w:r>
              <w:rPr>
                <w:rFonts w:hint="eastAsia" w:ascii="宋体" w:hAnsi="宋体"/>
                <w:bCs/>
                <w:sz w:val="24"/>
              </w:rPr>
              <w:t>④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94232DD">
            <w:pPr>
              <w:pStyle w:val="15"/>
              <w:rPr>
                <w:rFonts w:ascii="宋体" w:hAnsi="宋体"/>
              </w:rPr>
            </w:pPr>
            <w:r>
              <w:rPr>
                <w:rFonts w:hint="eastAsia" w:cs="Times New Roman"/>
              </w:rPr>
              <w:t>H</w:t>
            </w:r>
          </w:p>
        </w:tc>
        <w:tc>
          <w:tcPr>
            <w:tcW w:w="476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BA5FF22">
            <w:pPr>
              <w:pStyle w:val="15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1.掌握莎士比亚戏剧相关知识，具备戏剧欣赏与文本读写译及分析能力。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A3993B1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40%</w:t>
            </w:r>
          </w:p>
        </w:tc>
      </w:tr>
      <w:tr w14:paraId="68407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73E9789">
            <w:pPr>
              <w:pStyle w:val="15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7482980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66CFF53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76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E8BD550">
            <w:pPr>
              <w:pStyle w:val="15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2.通过阅读莎士比亚作品，能够了解跨文化交际的背景知识，有国际竞争与合作意识。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58346D1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30%</w:t>
            </w:r>
          </w:p>
        </w:tc>
      </w:tr>
      <w:tr w14:paraId="67A37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B364C7E">
            <w:pPr>
              <w:pStyle w:val="15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D212376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B5A4DB8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76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2645C3F">
            <w:pPr>
              <w:pStyle w:val="15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4.能够学会主动搜集、获取达到目标所需要的学习资源，主动安排学习计划并给予实施、反思学习计划、持续改进，达到学习目标。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F338C8B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30%</w:t>
            </w:r>
          </w:p>
        </w:tc>
      </w:tr>
      <w:tr w14:paraId="42184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5417679">
            <w:pPr>
              <w:pStyle w:val="15"/>
            </w:pPr>
            <w:r>
              <w:rPr>
                <w:rFonts w:hint="eastAsia"/>
                <w:b/>
                <w:bCs/>
              </w:rPr>
              <w:t>LO</w:t>
            </w:r>
            <w:r>
              <w:rPr>
                <w:rFonts w:hint="eastAsia" w:ascii="宋体" w:hAnsi="宋体"/>
                <w:b/>
                <w:bCs/>
              </w:rPr>
              <w:t>5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B6ABB13">
            <w:pPr>
              <w:pStyle w:val="15"/>
              <w:rPr>
                <w:rFonts w:cs="Times New Roman"/>
                <w:bCs/>
              </w:rPr>
            </w:pPr>
            <w:r>
              <w:rPr>
                <w:rFonts w:hint="eastAsia" w:ascii="宋体" w:hAnsi="宋体"/>
                <w:bCs/>
                <w:sz w:val="24"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897ADCF">
            <w:pPr>
              <w:pStyle w:val="15"/>
              <w:rPr>
                <w:rFonts w:ascii="宋体" w:hAnsi="宋体"/>
              </w:rPr>
            </w:pPr>
            <w:r>
              <w:rPr>
                <w:rFonts w:hint="eastAsia" w:cs="Times New Roman"/>
              </w:rPr>
              <w:t>M</w:t>
            </w:r>
          </w:p>
        </w:tc>
        <w:tc>
          <w:tcPr>
            <w:tcW w:w="476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DF392E0">
            <w:pPr>
              <w:pStyle w:val="15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6.通过阅读莎士比亚作品，陶冶情操，能够实现身心健康，学习和参与文学小组活动，通过探讨文学作品中的真善美主题，培养耐挫折能力，具有可持续发展的能力。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4566973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0516B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81A3F39">
            <w:pPr>
              <w:pStyle w:val="15"/>
            </w:pPr>
            <w:r>
              <w:rPr>
                <w:rFonts w:hint="eastAsia"/>
                <w:b/>
                <w:bCs/>
              </w:rPr>
              <w:t>LO</w:t>
            </w:r>
            <w:r>
              <w:rPr>
                <w:rFonts w:hint="eastAsia" w:ascii="宋体" w:hAnsi="宋体"/>
                <w:b/>
                <w:bCs/>
              </w:rPr>
              <w:t>6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1F84DD7">
            <w:pPr>
              <w:pStyle w:val="15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③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DCF0CAC">
            <w:pPr>
              <w:pStyle w:val="15"/>
              <w:rPr>
                <w:rFonts w:ascii="宋体" w:hAnsi="宋体"/>
              </w:rPr>
            </w:pPr>
            <w:r>
              <w:rPr>
                <w:rFonts w:hint="eastAsia" w:cs="Times New Roman"/>
              </w:rPr>
              <w:t>M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25D49C">
            <w:pPr>
              <w:pStyle w:val="15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3.能通过参与小组活动对经典作品有全新的理解，并结合现实生活，培养学生参与团队，在团队中提出设想并施行的能力。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55A525E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</w:tbl>
    <w:p w14:paraId="5376F5C1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5BED1E5"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183"/>
        <w:gridCol w:w="3577"/>
        <w:gridCol w:w="1924"/>
      </w:tblGrid>
      <w:tr w14:paraId="113F7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486FD6E">
            <w:pPr>
              <w:widowControl w:val="0"/>
              <w:jc w:val="left"/>
              <w:rPr>
                <w:rFonts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6"/>
            <w:bookmarkStart w:id="1" w:name="OLE_LINK5"/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单元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9B54A7D">
            <w:pPr>
              <w:widowControl w:val="0"/>
              <w:jc w:val="left"/>
              <w:rPr>
                <w:rFonts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预期学习成果</w:t>
            </w: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AF77BF9">
            <w:pPr>
              <w:widowControl w:val="0"/>
              <w:jc w:val="left"/>
              <w:rPr>
                <w:rFonts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核心知识点以及能力要求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35BBBC7">
            <w:pPr>
              <w:widowControl w:val="0"/>
              <w:jc w:val="left"/>
              <w:rPr>
                <w:rFonts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教学难点</w:t>
            </w:r>
          </w:p>
        </w:tc>
      </w:tr>
      <w:bookmarkEnd w:id="0"/>
      <w:bookmarkEnd w:id="1"/>
      <w:tr w14:paraId="46E54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BB44CA0">
            <w:pPr>
              <w:widowControl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EEC6A3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了解莎士比亚生平和简介历代英国作家对莎士比亚的评价。</w:t>
            </w: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EB2D25D">
            <w:pPr>
              <w:widowControl w:val="0"/>
              <w:snapToGrid w:val="0"/>
              <w:spacing w:line="300" w:lineRule="auto"/>
              <w:ind w:right="-818" w:rightChars="-34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莎士比亚四大悲剧与四大喜剧。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D3CF73B">
            <w:pPr>
              <w:widowControl w:val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莎士比亚创作阶段及其代表作。</w:t>
            </w:r>
          </w:p>
        </w:tc>
      </w:tr>
      <w:tr w14:paraId="68CC2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46750F0">
            <w:pPr>
              <w:widowControl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A98E0E0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《训悍妇》的创作背景和意义、选读及理解。</w:t>
            </w: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5F7DB7A">
            <w:pPr>
              <w:widowControl w:val="0"/>
              <w:snapToGrid w:val="0"/>
              <w:spacing w:line="300" w:lineRule="auto"/>
              <w:ind w:right="-818" w:rightChars="-341"/>
              <w:jc w:val="both"/>
              <w:rPr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</w:t>
            </w: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《训悍妇》戏剧特点与</w:t>
            </w:r>
          </w:p>
          <w:p w14:paraId="10AB9298">
            <w:pPr>
              <w:widowControl w:val="0"/>
              <w:snapToGrid w:val="0"/>
              <w:spacing w:line="300" w:lineRule="auto"/>
              <w:ind w:right="-818" w:rightChars="-34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sz w:val="20"/>
                <w:szCs w:val="20"/>
              </w:rPr>
              <w:t>优秀道德品质的培养。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1237855">
            <w:pPr>
              <w:widowControl w:val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“戏中戏”的戏剧风格与类型。</w:t>
            </w:r>
          </w:p>
        </w:tc>
      </w:tr>
      <w:tr w14:paraId="267C2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B1AE6AB">
            <w:pPr>
              <w:widowControl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210319F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《罗密欧与朱丽叶》的创作背景和意义、选读及理解。</w:t>
            </w: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24C7235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sz w:val="20"/>
                <w:szCs w:val="20"/>
              </w:rPr>
              <w:t>人文主义素养的培养；与中国《梁山伯与祝英台》比较研究；封建主义的批判。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9C6461A">
            <w:pPr>
              <w:widowControl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“Hamlet”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中独白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“To Be or Not to Be”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的主题分析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74DE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4FED9E7">
            <w:pPr>
              <w:widowControl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FFA231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梳理《仲夏夜之梦》剧中三组人物之间的矛盾结构。</w:t>
            </w:r>
          </w:p>
          <w:p w14:paraId="7A21480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D60FFC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auto"/>
              <w:ind w:left="79" w:leftChars="33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雅典森林中戏剧冲突高潮是如何生成的。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4301ABA">
            <w:pPr>
              <w:widowControl w:val="0"/>
              <w:snapToGrid w:val="0"/>
              <w:spacing w:line="300" w:lineRule="auto"/>
              <w:ind w:right="-818" w:rightChars="-341"/>
              <w:jc w:val="both"/>
              <w:rPr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两个世界：雅典和森</w:t>
            </w:r>
          </w:p>
          <w:p w14:paraId="547E25CA">
            <w:pPr>
              <w:widowControl w:val="0"/>
              <w:snapToGrid w:val="0"/>
              <w:spacing w:line="300" w:lineRule="auto"/>
              <w:ind w:right="-818" w:rightChars="-341"/>
              <w:jc w:val="left"/>
              <w:rPr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林、选读和理解；</w:t>
            </w:r>
          </w:p>
          <w:p w14:paraId="067C9685">
            <w:pPr>
              <w:widowControl w:val="0"/>
              <w:snapToGrid w:val="0"/>
              <w:spacing w:line="300" w:lineRule="auto"/>
              <w:ind w:right="-818" w:rightChars="-341"/>
              <w:jc w:val="left"/>
              <w:rPr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莎士比亚戏剧语言，</w:t>
            </w:r>
          </w:p>
          <w:p w14:paraId="74A72183">
            <w:pPr>
              <w:widowControl w:val="0"/>
              <w:snapToGrid w:val="0"/>
              <w:spacing w:line="300" w:lineRule="auto"/>
              <w:ind w:right="-818" w:rightChars="-341"/>
              <w:jc w:val="left"/>
              <w:rPr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莎剧喜剧的典型结构</w:t>
            </w:r>
          </w:p>
          <w:p w14:paraId="4ABD9D71">
            <w:pPr>
              <w:widowControl w:val="0"/>
              <w:snapToGrid w:val="0"/>
              <w:spacing w:line="300" w:lineRule="auto"/>
              <w:ind w:right="-818" w:rightChars="-341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</w:tr>
      <w:tr w14:paraId="6DC43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276871A">
            <w:pPr>
              <w:widowControl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829B3CF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了解《亨利四世》的创作背景和意义；了解历史剧的创作特点与效果。</w:t>
            </w: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2E3CAFD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auto"/>
              <w:ind w:left="79" w:leftChars="3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哈里王子的“蜕变”、福斯塔夫的被黜、选读和理解。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7EF2DFE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auto"/>
              <w:ind w:left="79" w:leftChars="33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哈里王子的性格特点、福斯塔夫的戏剧形象。</w:t>
            </w:r>
          </w:p>
        </w:tc>
      </w:tr>
      <w:tr w14:paraId="73D09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BF97099">
            <w:pPr>
              <w:widowControl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B616EBB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了解《哈姆雷特》的创作背景和意义；了解复仇主题。</w:t>
            </w: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E1CAE8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auto"/>
              <w:ind w:left="79" w:leftChars="3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哈姆雷特的悲剧英雄形象是如何树立的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832115B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莎士比亚戏剧语言，传统悲剧理论。</w:t>
            </w:r>
          </w:p>
        </w:tc>
      </w:tr>
      <w:tr w14:paraId="69F9E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4948AF0">
            <w:pPr>
              <w:widowControl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1A2ECB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了解《第十二夜》的创作背景和意义；了解身份的转换。</w:t>
            </w: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260B015">
            <w:pPr>
              <w:widowControl w:val="0"/>
              <w:snapToGrid w:val="0"/>
              <w:spacing w:line="300" w:lineRule="auto"/>
              <w:ind w:right="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sz w:val="20"/>
                <w:szCs w:val="20"/>
              </w:rPr>
              <w:t>人文主义对爱情和友谊的美好理想，表现了生活之美、爱情之美。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24FC9B5">
            <w:pPr>
              <w:widowControl w:val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《第十二夜》的语言充满抒情色彩；浪漫主义。</w:t>
            </w:r>
          </w:p>
        </w:tc>
      </w:tr>
      <w:tr w14:paraId="30B37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24AB133">
            <w:pPr>
              <w:widowControl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7CC2BF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了解《十四行诗》的语言特点与诗歌内涵。</w:t>
            </w: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4815B2">
            <w:pPr>
              <w:widowControl w:val="0"/>
              <w:snapToGrid w:val="0"/>
              <w:spacing w:line="300" w:lineRule="auto"/>
              <w:ind w:right="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《十四行诗》的传统与格律</w:t>
            </w:r>
            <w:r>
              <w:rPr>
                <w:rFonts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7750E55">
            <w:pPr>
              <w:widowControl w:val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十四行诗的传统与发展、语言特点。</w:t>
            </w:r>
          </w:p>
        </w:tc>
      </w:tr>
      <w:tr w14:paraId="5D258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0CED2E5">
            <w:pPr>
              <w:widowControl w:val="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97D84F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了解《奥赛罗》的创作背景和意义；了解种族歧视的表现手法；学习悲剧的创作。</w:t>
            </w: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F63CA0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奥赛罗的悲剧英雄形象是如何树立的；</w:t>
            </w:r>
            <w:r>
              <w:rPr>
                <w:rFonts w:hint="eastAsia"/>
                <w:bCs/>
                <w:sz w:val="20"/>
                <w:szCs w:val="20"/>
              </w:rPr>
              <w:t>种族主义的批判；嫉妒心里的危害。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24A72DD">
            <w:pPr>
              <w:widowControl w:val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奥赛罗、伊阿古、苔丝狄蒙娜的人物刻画。</w:t>
            </w:r>
          </w:p>
        </w:tc>
      </w:tr>
      <w:tr w14:paraId="02024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2B00392">
            <w:pPr>
              <w:widowControl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585AC44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了解《李尔王》的创作背景和意义；《李尔王》艺术特色和人物的人性光芒、选读和理解。</w:t>
            </w: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42E7755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auto"/>
              <w:ind w:left="79" w:leftChars="3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李尔王的悲剧特点；</w:t>
            </w:r>
            <w:r>
              <w:rPr>
                <w:rFonts w:hint="eastAsia"/>
                <w:bCs/>
                <w:sz w:val="20"/>
                <w:szCs w:val="20"/>
              </w:rPr>
              <w:t>优秀道德品质的培养。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5A4E56C">
            <w:pPr>
              <w:widowControl w:val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莎士比亚戏剧语言，传统悲剧理论。</w:t>
            </w:r>
          </w:p>
        </w:tc>
      </w:tr>
      <w:tr w14:paraId="48AE4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DB0D797">
            <w:pPr>
              <w:widowControl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44B798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了解《麦克白》的创作背景和意义；了解心理分析方法。</w:t>
            </w: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E81E6F8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讨论麦克白的悲剧特点；</w:t>
            </w:r>
            <w:r>
              <w:rPr>
                <w:rFonts w:hint="eastAsia"/>
                <w:bCs/>
                <w:sz w:val="20"/>
                <w:szCs w:val="20"/>
              </w:rPr>
              <w:t>思政要点：贪婪的代价；忠诚教育。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886711E">
            <w:pPr>
              <w:widowControl w:val="0"/>
              <w:snapToGrid w:val="0"/>
              <w:spacing w:line="30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麦克白和麦克白夫人的心里分析。</w:t>
            </w:r>
          </w:p>
        </w:tc>
      </w:tr>
      <w:tr w14:paraId="2733B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112686A">
            <w:pPr>
              <w:widowControl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A3C947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了解《暴风雨》神话般的奇特故事，梦境、神谕和魔法的神秘性，以及偶然性与巧合的频繁发生，构成了惊心动魄的戏剧。</w:t>
            </w: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1182033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auto"/>
              <w:ind w:left="79" w:leftChars="33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Helvetica" w:cs="Helvetica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传奇剧的结构原则为：剧情（家庭关系）由合（和谐）到分（分裂）再到合（和谐），场景由宫廷到社会（田园）再到宫廷。这一“圆”形结构方式，反映周而复始、循环往复的自然规律，蕴含着作者对社会现实的理解和希望。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5981A3F">
            <w:pPr>
              <w:widowControl w:val="0"/>
              <w:snapToGrid w:val="0"/>
              <w:spacing w:line="30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神谕与魔幻主义；五步抑扬格。</w:t>
            </w:r>
          </w:p>
        </w:tc>
      </w:tr>
      <w:tr w14:paraId="3DBB1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5B10AB2">
            <w:pPr>
              <w:widowControl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F4084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了解《皆大欢喜》的创作背景和意义。了解以德报怨的案例。</w:t>
            </w: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EEA62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莎士比亚的人文主义精神在《皆大欢喜》主要表现在两个方面：一是对人类追求美好事物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爱情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幸福的肯定，宣扬人类的真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善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美；二是恶人并没有得到惩罚而是得到宽恕，最终好人和恶人互相和解达到和谐统一。好人全都得到好报，恶人受到感化，有情人双双喜结良缘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68BA2D">
            <w:pPr>
              <w:widowControl w:val="0"/>
              <w:snapToGrid w:val="0"/>
              <w:spacing w:line="30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以善胜恶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CFA5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D6E6637">
            <w:pPr>
              <w:widowControl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F54388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了解《无事生非》的创作背景和意义；了解善意的谎言再戏剧中的表现手法。</w:t>
            </w: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D0A5AA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自我意识、男女之间的真诚与相互尊重、以及社会秩序等问题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在伊莉莎白时期的英国，“无事”（nothing）的发音与noting极为类似，因此“无事生非”也有“注意”、“纪录”、“窃听生非”的双关语暗示。“窃听”在剧中不仅常见，而且至关重要，是造成误解或澄清事实的关键；</w:t>
            </w:r>
            <w:r>
              <w:rPr>
                <w:rFonts w:hint="eastAsia"/>
                <w:bCs/>
                <w:sz w:val="20"/>
                <w:szCs w:val="20"/>
              </w:rPr>
              <w:t>嫉妒心里的影响与危害。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143B16D">
            <w:pPr>
              <w:widowControl w:val="0"/>
              <w:snapToGrid w:val="0"/>
              <w:spacing w:line="30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以谎言假象与真实之间的错位来营造浓郁的喜剧效果。</w:t>
            </w:r>
          </w:p>
        </w:tc>
      </w:tr>
      <w:tr w14:paraId="4F990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93DF43">
            <w:pPr>
              <w:widowControl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2E8F112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了解《冬天的童话》的创作背景和意义；了解伊丽莎白一世的文化背景；文艺复兴运动也使得女性的地位得到提高。</w:t>
            </w: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D751050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莎士比亚迎合新形势下凡人对于“神性的企望”创作了《冬天的故事》剧。它是莎士比亚试图揭开掩盖女性，尤其是母亲光彩的重重帷幕、认同女性对于维持社会稳定的重大价值的尝试，正如此剧的结尾表现的那样：只有找回了失去的，戏才能落幕。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EFF9F90">
            <w:pPr>
              <w:widowControl w:val="0"/>
              <w:snapToGrid w:val="0"/>
              <w:spacing w:line="30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女性主义特点</w:t>
            </w:r>
          </w:p>
        </w:tc>
      </w:tr>
      <w:tr w14:paraId="16777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D2B99F6">
            <w:pPr>
              <w:widowControl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CBE423E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了解历史悲剧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《裘力斯·凯撒》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测试</w:t>
            </w: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A001020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勃鲁托斯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的双面评价；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期末测试, 涵盖1-15周的教学内容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F778008">
            <w:pPr>
              <w:widowControl w:val="0"/>
              <w:snapToGrid w:val="0"/>
              <w:spacing w:line="30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历史悲剧的特点</w:t>
            </w:r>
          </w:p>
        </w:tc>
      </w:tr>
    </w:tbl>
    <w:p w14:paraId="7FE9F4E3"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 w14:paraId="49079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83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D64AB84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2A14B4F5">
            <w:pPr>
              <w:pStyle w:val="14"/>
              <w:ind w:right="210"/>
              <w:jc w:val="left"/>
              <w:rPr>
                <w:szCs w:val="16"/>
              </w:rPr>
            </w:pPr>
          </w:p>
          <w:p w14:paraId="776ED1D9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1757088">
            <w:pPr>
              <w:pStyle w:val="14"/>
              <w:rPr>
                <w:szCs w:val="16"/>
              </w:rPr>
            </w:pPr>
            <w:r>
              <w:rPr>
                <w:rFonts w:eastAsia="仿宋" w:cs="Arial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16B179A">
            <w:pPr>
              <w:pStyle w:val="14"/>
              <w:rPr>
                <w:szCs w:val="16"/>
              </w:rPr>
            </w:pPr>
            <w:r>
              <w:rPr>
                <w:rFonts w:hint="eastAsia" w:eastAsia="仿宋" w:cs="Arial"/>
                <w:szCs w:val="21"/>
              </w:rPr>
              <w:t>2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4755513">
            <w:pPr>
              <w:pStyle w:val="14"/>
              <w:rPr>
                <w:szCs w:val="16"/>
              </w:rPr>
            </w:pPr>
            <w:r>
              <w:rPr>
                <w:rFonts w:hint="eastAsia" w:eastAsia="仿宋" w:cs="Arial"/>
                <w:szCs w:val="21"/>
              </w:rPr>
              <w:t>3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44D837B">
            <w:pPr>
              <w:pStyle w:val="14"/>
              <w:rPr>
                <w:szCs w:val="16"/>
              </w:rPr>
            </w:pPr>
            <w:r>
              <w:rPr>
                <w:rFonts w:hint="eastAsia" w:eastAsia="仿宋" w:cs="Arial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CB9EDC3">
            <w:pPr>
              <w:pStyle w:val="14"/>
              <w:rPr>
                <w:szCs w:val="16"/>
              </w:rPr>
            </w:pPr>
            <w:r>
              <w:rPr>
                <w:rFonts w:hint="eastAsia" w:eastAsia="仿宋" w:cs="Arial"/>
                <w:szCs w:val="21"/>
              </w:rPr>
              <w:t>5</w:t>
            </w:r>
          </w:p>
        </w:tc>
        <w:tc>
          <w:tcPr>
            <w:tcW w:w="1074" w:type="dxa"/>
            <w:tcBorders>
              <w:top w:val="single" w:color="auto" w:sz="12" w:space="0"/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3E310C7">
            <w:pPr>
              <w:pStyle w:val="14"/>
              <w:rPr>
                <w:szCs w:val="16"/>
              </w:rPr>
            </w:pPr>
            <w:r>
              <w:rPr>
                <w:rFonts w:hint="eastAsia" w:eastAsia="仿宋" w:cs="Arial"/>
                <w:szCs w:val="21"/>
              </w:rPr>
              <w:t>6</w:t>
            </w:r>
          </w:p>
        </w:tc>
      </w:tr>
      <w:tr w14:paraId="1DB83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284CFBE">
            <w:pPr>
              <w:pStyle w:val="15"/>
              <w:numPr>
                <w:ilvl w:val="0"/>
                <w:numId w:val="1"/>
              </w:numPr>
              <w:jc w:val="left"/>
            </w:pPr>
            <w:r>
              <w:rPr>
                <w:rFonts w:eastAsia="Garamond" w:cs="Times New Roman"/>
                <w:shd w:val="clear" w:color="auto" w:fill="FFFFFF"/>
                <w:lang w:bidi="ar"/>
              </w:rPr>
              <w:t>Introduction to William Shakespeare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C228D34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48FF448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19B59AE">
            <w:pPr>
              <w:pStyle w:val="15"/>
            </w:pP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FCC34CA">
            <w:pPr>
              <w:pStyle w:val="15"/>
            </w:pP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11F549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FBCB6E">
            <w:pPr>
              <w:pStyle w:val="15"/>
            </w:pPr>
          </w:p>
        </w:tc>
      </w:tr>
      <w:tr w14:paraId="7DAEB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F948E13">
            <w:pPr>
              <w:pStyle w:val="15"/>
              <w:numPr>
                <w:ilvl w:val="0"/>
                <w:numId w:val="1"/>
              </w:numPr>
              <w:jc w:val="left"/>
            </w:pPr>
            <w:r>
              <w:rPr>
                <w:rFonts w:cs="Times New Roman"/>
                <w:i/>
                <w:iCs/>
                <w:shd w:val="clear" w:color="auto" w:fill="FFFFFF"/>
                <w:lang w:bidi="ar"/>
              </w:rPr>
              <w:t>The Taming of the Shrew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11B4479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E1E9A11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7095C4A">
            <w:pPr>
              <w:pStyle w:val="15"/>
            </w:pP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D263BC2">
            <w:pPr>
              <w:pStyle w:val="15"/>
            </w:pP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ECF2FC9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D68EF3D">
            <w:pPr>
              <w:pStyle w:val="15"/>
            </w:pPr>
          </w:p>
        </w:tc>
      </w:tr>
      <w:tr w14:paraId="66016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3224660">
            <w:pPr>
              <w:pStyle w:val="15"/>
              <w:numPr>
                <w:ilvl w:val="0"/>
                <w:numId w:val="1"/>
              </w:numPr>
              <w:jc w:val="left"/>
            </w:pPr>
            <w:r>
              <w:rPr>
                <w:rFonts w:cs="Times New Roman"/>
                <w:i/>
                <w:iCs/>
                <w:shd w:val="clear" w:color="auto" w:fill="FFFFFF"/>
                <w:lang w:bidi="ar"/>
              </w:rPr>
              <w:t>Romeo and Juliet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4F2A984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C5E0239">
            <w:pPr>
              <w:pStyle w:val="15"/>
            </w:pP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D88134F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5985EE">
            <w:pPr>
              <w:pStyle w:val="15"/>
            </w:pP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D73D931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06035EB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</w:tr>
      <w:tr w14:paraId="1C7DB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E119863">
            <w:pPr>
              <w:pStyle w:val="15"/>
              <w:numPr>
                <w:ilvl w:val="0"/>
                <w:numId w:val="1"/>
              </w:numPr>
              <w:jc w:val="left"/>
              <w:rPr>
                <w:rFonts w:cs="Times New Roman"/>
                <w:i/>
                <w:iCs/>
                <w:shd w:val="clear" w:color="auto" w:fill="FFFFFF"/>
                <w:lang w:bidi="ar"/>
              </w:rPr>
            </w:pPr>
            <w:r>
              <w:rPr>
                <w:rFonts w:hint="eastAsia" w:cs="Times New Roman"/>
                <w:i/>
                <w:iCs/>
                <w:shd w:val="clear" w:color="auto" w:fill="FFFFFF"/>
                <w:lang w:bidi="ar"/>
              </w:rPr>
              <w:t>A Mid-Summer Night</w:t>
            </w:r>
            <w:r>
              <w:rPr>
                <w:rFonts w:cs="Times New Roman"/>
                <w:i/>
                <w:iCs/>
                <w:shd w:val="clear" w:color="auto" w:fill="FFFFFF"/>
                <w:lang w:bidi="ar"/>
              </w:rPr>
              <w:t>’</w:t>
            </w:r>
            <w:r>
              <w:rPr>
                <w:rFonts w:hint="eastAsia" w:cs="Times New Roman"/>
                <w:i/>
                <w:iCs/>
                <w:shd w:val="clear" w:color="auto" w:fill="FFFFFF"/>
                <w:lang w:bidi="ar"/>
              </w:rPr>
              <w:t>s Dream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4100087">
            <w:pPr>
              <w:pStyle w:val="15"/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4F130D4">
            <w:pPr>
              <w:pStyle w:val="15"/>
            </w:pP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3EB2389">
            <w:pPr>
              <w:pStyle w:val="15"/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EBF158A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AA0FA5">
            <w:pPr>
              <w:pStyle w:val="15"/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E2715D7">
            <w:pPr>
              <w:pStyle w:val="15"/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</w:tr>
      <w:tr w14:paraId="3FEBC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EFBABEE">
            <w:pPr>
              <w:pStyle w:val="15"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  <w:bCs/>
                <w:i/>
                <w:iCs/>
              </w:rPr>
              <w:t>Henry the Fourth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7FF9643">
            <w:pPr>
              <w:pStyle w:val="15"/>
            </w:pP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3346925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CB2A45A">
            <w:pPr>
              <w:pStyle w:val="15"/>
            </w:pP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C5810D3">
            <w:pPr>
              <w:pStyle w:val="15"/>
            </w:pP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98A3981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CCF54F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</w:tr>
      <w:tr w14:paraId="2696E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2C42D40">
            <w:pPr>
              <w:pStyle w:val="15"/>
              <w:numPr>
                <w:ilvl w:val="0"/>
                <w:numId w:val="1"/>
              </w:numPr>
              <w:jc w:val="left"/>
            </w:pPr>
            <w:r>
              <w:rPr>
                <w:rFonts w:hint="eastAsia" w:cs="Times New Roman"/>
                <w:bCs/>
                <w:i/>
                <w:iCs/>
              </w:rPr>
              <w:t>Hamlet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B08C18C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F5F4C6">
            <w:pPr>
              <w:pStyle w:val="15"/>
            </w:pP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BC0C65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346EEF">
            <w:pPr>
              <w:pStyle w:val="15"/>
            </w:pP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E90A468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E0024F7">
            <w:pPr>
              <w:pStyle w:val="15"/>
            </w:pPr>
          </w:p>
        </w:tc>
      </w:tr>
      <w:tr w14:paraId="0300A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58AD910">
            <w:pPr>
              <w:pStyle w:val="15"/>
              <w:numPr>
                <w:ilvl w:val="0"/>
                <w:numId w:val="1"/>
              </w:numPr>
              <w:jc w:val="left"/>
            </w:pPr>
            <w:r>
              <w:rPr>
                <w:rFonts w:cs="Times New Roman"/>
                <w:i/>
                <w:iCs/>
                <w:shd w:val="clear" w:color="auto" w:fill="FFFFFF"/>
                <w:lang w:bidi="ar"/>
              </w:rPr>
              <w:t>Twelfth Night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AB5EFF0">
            <w:pPr>
              <w:pStyle w:val="15"/>
            </w:pP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0C29BB5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4DC6091">
            <w:pPr>
              <w:pStyle w:val="15"/>
            </w:pP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5719795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1D1012D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A26F137">
            <w:pPr>
              <w:pStyle w:val="15"/>
            </w:pPr>
          </w:p>
        </w:tc>
      </w:tr>
      <w:tr w14:paraId="37E97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BAB935B">
            <w:pPr>
              <w:pStyle w:val="15"/>
              <w:numPr>
                <w:ilvl w:val="0"/>
                <w:numId w:val="1"/>
              </w:numPr>
              <w:jc w:val="left"/>
            </w:pPr>
            <w:r>
              <w:rPr>
                <w:rFonts w:cs="Times New Roman"/>
                <w:bCs/>
                <w:i/>
                <w:iCs/>
              </w:rPr>
              <w:t>Othello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040EACC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7C4B55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C62D0B3">
            <w:pPr>
              <w:pStyle w:val="15"/>
            </w:pP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5ED2E2E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7117BAB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4C22A9C">
            <w:pPr>
              <w:pStyle w:val="15"/>
            </w:pPr>
          </w:p>
        </w:tc>
      </w:tr>
      <w:tr w14:paraId="1D7A6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21B6D9F">
            <w:pPr>
              <w:pStyle w:val="15"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  <w:bCs/>
              </w:rPr>
              <w:t>Sonnets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1491CDE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CE53BA7">
            <w:pPr>
              <w:pStyle w:val="15"/>
            </w:pP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12E48B0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7A76BAB">
            <w:pPr>
              <w:pStyle w:val="15"/>
            </w:pP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CDA4FF9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E3AB68F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</w:tr>
      <w:tr w14:paraId="7907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AED9012">
            <w:pPr>
              <w:pStyle w:val="15"/>
              <w:numPr>
                <w:ilvl w:val="0"/>
                <w:numId w:val="1"/>
              </w:numPr>
              <w:jc w:val="left"/>
            </w:pPr>
            <w:r>
              <w:rPr>
                <w:rFonts w:cs="Times New Roman"/>
                <w:bCs/>
                <w:i/>
                <w:iCs/>
              </w:rPr>
              <w:t>King Lear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6BCF542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A199C0D">
            <w:pPr>
              <w:pStyle w:val="15"/>
            </w:pP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384659A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3ABEB4">
            <w:pPr>
              <w:pStyle w:val="15"/>
            </w:pP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DB2DF9A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238D31D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</w:tr>
      <w:tr w14:paraId="42E78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5932FD">
            <w:pPr>
              <w:pStyle w:val="15"/>
              <w:numPr>
                <w:ilvl w:val="0"/>
                <w:numId w:val="1"/>
              </w:numPr>
              <w:jc w:val="left"/>
            </w:pPr>
            <w:r>
              <w:rPr>
                <w:rFonts w:hint="eastAsia" w:cs="Times New Roman"/>
                <w:bCs/>
                <w:i/>
                <w:iCs/>
              </w:rPr>
              <w:t>Macbeth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505E74E">
            <w:pPr>
              <w:pStyle w:val="15"/>
            </w:pP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E877B8C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E9B6606">
            <w:pPr>
              <w:pStyle w:val="15"/>
            </w:pP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AA5EEEA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ACB4EDD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49D558B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</w:tr>
      <w:tr w14:paraId="68685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71F772D">
            <w:pPr>
              <w:pStyle w:val="15"/>
              <w:numPr>
                <w:ilvl w:val="0"/>
                <w:numId w:val="1"/>
              </w:numPr>
              <w:jc w:val="left"/>
            </w:pPr>
            <w:r>
              <w:rPr>
                <w:rFonts w:cs="Times New Roman"/>
                <w:bCs/>
                <w:i/>
                <w:iCs/>
              </w:rPr>
              <w:t>The Tempest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D2BC64D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363405B">
            <w:pPr>
              <w:pStyle w:val="15"/>
            </w:pP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1A8A85F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E4FF8AA">
            <w:pPr>
              <w:pStyle w:val="15"/>
            </w:pP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D03556C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3F0D000">
            <w:pPr>
              <w:pStyle w:val="15"/>
            </w:pPr>
          </w:p>
        </w:tc>
      </w:tr>
      <w:tr w14:paraId="659B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6416AD8">
            <w:pPr>
              <w:pStyle w:val="15"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  <w:i/>
                <w:iCs/>
              </w:rPr>
              <w:t>As You Like It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6AC9F69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76C48CC">
            <w:pPr>
              <w:pStyle w:val="15"/>
            </w:pP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031A928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C331E80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025EC78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9ED7483">
            <w:pPr>
              <w:pStyle w:val="15"/>
            </w:pPr>
          </w:p>
        </w:tc>
      </w:tr>
      <w:tr w14:paraId="7E12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C60063C">
            <w:pPr>
              <w:pStyle w:val="15"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  <w:bCs/>
                <w:i/>
                <w:iCs/>
              </w:rPr>
              <w:t>Much Ado About Nothing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ADBDC80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FA6F6E3">
            <w:pPr>
              <w:pStyle w:val="15"/>
            </w:pP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35A3AE1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791B077">
            <w:pPr>
              <w:pStyle w:val="15"/>
            </w:pP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B2BA032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3AD6546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</w:tr>
      <w:tr w14:paraId="2E912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79C19FE">
            <w:pPr>
              <w:pStyle w:val="15"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  <w:bCs/>
                <w:i/>
                <w:iCs/>
              </w:rPr>
              <w:t>The Winter</w:t>
            </w:r>
            <w:r>
              <w:rPr>
                <w:bCs/>
                <w:i/>
                <w:iCs/>
              </w:rPr>
              <w:t>’</w:t>
            </w:r>
            <w:r>
              <w:rPr>
                <w:rFonts w:hint="eastAsia"/>
                <w:bCs/>
                <w:i/>
                <w:iCs/>
              </w:rPr>
              <w:t>s Tale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A9E0900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BCC3C23">
            <w:pPr>
              <w:pStyle w:val="15"/>
            </w:pP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52BDD5D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ED7F9AB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E9220DD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7038EFD">
            <w:pPr>
              <w:pStyle w:val="15"/>
            </w:pPr>
          </w:p>
        </w:tc>
      </w:tr>
      <w:tr w14:paraId="67D32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1482757">
            <w:pPr>
              <w:pStyle w:val="15"/>
              <w:numPr>
                <w:ilvl w:val="0"/>
                <w:numId w:val="1"/>
              </w:numPr>
              <w:jc w:val="left"/>
            </w:pPr>
            <w:r>
              <w:rPr>
                <w:rFonts w:cs="Times New Roman"/>
                <w:i/>
                <w:iCs/>
                <w:shd w:val="clear" w:color="auto" w:fill="FFFFFF"/>
                <w:lang w:bidi="ar"/>
              </w:rPr>
              <w:t>The Tragedy of Julius Caesar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819FB7E">
            <w:pPr>
              <w:pStyle w:val="15"/>
            </w:pPr>
          </w:p>
        </w:tc>
        <w:tc>
          <w:tcPr>
            <w:tcW w:w="1074" w:type="dxa"/>
            <w:tcBorders>
              <w:bottom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7D1BDCE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46B680C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3" w:type="dxa"/>
            <w:tcBorders>
              <w:bottom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7835087">
            <w:pPr>
              <w:pStyle w:val="15"/>
            </w:pPr>
          </w:p>
        </w:tc>
        <w:tc>
          <w:tcPr>
            <w:tcW w:w="1073" w:type="dxa"/>
            <w:tcBorders>
              <w:bottom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B51F69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682ED38">
            <w:pPr>
              <w:pStyle w:val="15"/>
            </w:pPr>
            <w:r>
              <w:rPr>
                <w:rFonts w:ascii="Arial" w:hAnsi="Arial" w:eastAsia="Arial" w:cs="Arial"/>
                <w:color w:val="333333"/>
                <w:sz w:val="14"/>
                <w:szCs w:val="14"/>
                <w:shd w:val="clear" w:color="auto" w:fill="FFFFFF"/>
              </w:rPr>
              <w:t>√</w:t>
            </w:r>
          </w:p>
        </w:tc>
      </w:tr>
    </w:tbl>
    <w:p w14:paraId="2B0D8516"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433ED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B7592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E44E43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9B4E69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1BE577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57C0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0FE53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2DA75E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E92A5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09C07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628866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B988C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52A73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6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FFB15D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cs="Times New Roman"/>
                <w:bCs/>
              </w:rPr>
            </w:pPr>
            <w:r>
              <w:rPr>
                <w:rFonts w:eastAsia="Garamond" w:cs="Times New Roman"/>
                <w:shd w:val="clear" w:color="auto" w:fill="FFFFFF"/>
                <w:lang w:bidi="ar"/>
              </w:rPr>
              <w:t>Introduction to William Shakespeare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4409A9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讲述教学法；讨论法；问答法；对话法；多媒体教学法；问题导向学习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F33802B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读书笔记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5C8E16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67C79A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0539C7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2</w:t>
            </w:r>
          </w:p>
        </w:tc>
      </w:tr>
      <w:tr w14:paraId="4733F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F56339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i/>
                <w:iCs/>
                <w:shd w:val="clear" w:color="auto" w:fill="FFFFFF"/>
                <w:lang w:bidi="ar"/>
              </w:rPr>
              <w:t>The Taming of the Shrew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EC6CB4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讲述教学法；讨论法；问答法；对话法；多媒体教学法，创新教学法；</w:t>
            </w:r>
          </w:p>
          <w:p w14:paraId="6B131DEA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76F82C2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课堂问答/讨论；读书笔记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F823EA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86C73D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96331F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</w:tr>
      <w:tr w14:paraId="1FBB5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6815CD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i/>
                <w:iCs/>
                <w:shd w:val="clear" w:color="auto" w:fill="FFFFFF"/>
                <w:lang w:bidi="ar"/>
              </w:rPr>
              <w:t>Romeo and Juliet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192D65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讲述教学法；讨论法；问答法；对话法；示范教学法，多媒体教学法，情境教学法；</w:t>
            </w:r>
          </w:p>
          <w:p w14:paraId="74EF3FF3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合作学习，问题导向学习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753954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文学知识图谱；读书笔记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124FC4B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EFAC9A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FBD643C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2</w:t>
            </w:r>
          </w:p>
        </w:tc>
      </w:tr>
      <w:tr w14:paraId="61B47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4264C7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cs="Times New Roman"/>
                <w:i/>
                <w:iCs/>
                <w:shd w:val="clear" w:color="auto" w:fill="FFFFFF"/>
                <w:lang w:bidi="ar"/>
              </w:rPr>
            </w:pPr>
            <w:r>
              <w:rPr>
                <w:rFonts w:hint="eastAsia" w:cs="Times New Roman"/>
                <w:i/>
                <w:iCs/>
                <w:shd w:val="clear" w:color="auto" w:fill="FFFFFF"/>
                <w:lang w:bidi="ar"/>
              </w:rPr>
              <w:t>A Mid-Summer Night</w:t>
            </w:r>
            <w:r>
              <w:rPr>
                <w:rFonts w:cs="Times New Roman"/>
                <w:i/>
                <w:iCs/>
                <w:shd w:val="clear" w:color="auto" w:fill="FFFFFF"/>
                <w:lang w:bidi="ar"/>
              </w:rPr>
              <w:t>’</w:t>
            </w:r>
            <w:r>
              <w:rPr>
                <w:rFonts w:hint="eastAsia" w:cs="Times New Roman"/>
                <w:i/>
                <w:iCs/>
                <w:shd w:val="clear" w:color="auto" w:fill="FFFFFF"/>
                <w:lang w:bidi="ar"/>
              </w:rPr>
              <w:t>s Dream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212585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讲述教学法；讨论法；问答法；对话法；示范教学法，多媒体教学法，情境教学法；</w:t>
            </w:r>
          </w:p>
          <w:p w14:paraId="2AA949A4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合作学习，问题导向学习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7AE8D4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文学知识图谱；读书笔记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42D518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FF5EFE2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0075D0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2</w:t>
            </w:r>
          </w:p>
        </w:tc>
      </w:tr>
      <w:tr w14:paraId="6683D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13EBED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cs="Times New Roman"/>
                <w:bCs/>
              </w:rPr>
            </w:pPr>
            <w:r>
              <w:rPr>
                <w:rFonts w:hint="eastAsia"/>
                <w:bCs/>
                <w:i/>
                <w:iCs/>
              </w:rPr>
              <w:t>Henry the Fourth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E4EE121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讲述教学法；讨论法；问答法；对话法；示范教学法，六步教学法；解决问题学习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1F7666">
            <w:pPr>
              <w:widowControl w:val="0"/>
              <w:snapToGrid w:val="0"/>
              <w:jc w:val="both"/>
              <w:rPr>
                <w:rFonts w:ascii="Times New Roman" w:hAnsi="Times New Roman" w:eastAsia="仿宋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课堂问答/讨论；读书笔记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0DDE80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1DBE3A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4178CDE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</w:tr>
      <w:tr w14:paraId="35104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4E02B8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  <w:i/>
                <w:iCs/>
              </w:rPr>
              <w:t>Hamlet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CB2D33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讲述教学法；讨论法；问答法；对话法；创新教学法；</w:t>
            </w:r>
          </w:p>
          <w:p w14:paraId="0691EE00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合作学习，实作学习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641BC4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课堂问答/讨论；读书笔记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89F6A9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C87DAC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8A05E0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2</w:t>
            </w:r>
          </w:p>
        </w:tc>
      </w:tr>
      <w:tr w14:paraId="0EA6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5E1F12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i/>
                <w:iCs/>
                <w:shd w:val="clear" w:color="auto" w:fill="FFFFFF"/>
                <w:lang w:bidi="ar"/>
              </w:rPr>
              <w:t>Twelfth Night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DAD8E5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讲述教学法；讨论法；问答法；对话法；示范教学法，多媒体教学法；解决问题学习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BF9D7D">
            <w:pPr>
              <w:widowControl w:val="0"/>
              <w:snapToGrid w:val="0"/>
              <w:spacing w:line="288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文学知识图谱；读书报告；</w:t>
            </w:r>
          </w:p>
          <w:p w14:paraId="7E098525">
            <w:pPr>
              <w:widowControl w:val="0"/>
              <w:snapToGrid w:val="0"/>
              <w:spacing w:line="288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小组课上展示；读书笔记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E45DA3F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D27BD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E53ECB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</w:tr>
      <w:tr w14:paraId="2ACAF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7538E0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i/>
                <w:iCs/>
              </w:rPr>
              <w:t>Othello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13BFFD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讲述教学法；讨论法；问答法；对话法；多媒体教学法；</w:t>
            </w:r>
          </w:p>
          <w:p w14:paraId="05B94C38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合作学习，问题导向学习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ADA4D6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小组课上展示；</w:t>
            </w:r>
          </w:p>
          <w:p w14:paraId="10996AD4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读书报告；读书笔记</w:t>
            </w:r>
          </w:p>
          <w:p w14:paraId="68A40C9F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852625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155959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11613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2</w:t>
            </w:r>
          </w:p>
        </w:tc>
      </w:tr>
      <w:tr w14:paraId="31977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7B50D0D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Sonnets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C293E0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讲述教学法；讨论法；问答法；对话法；示范教学法；</w:t>
            </w:r>
          </w:p>
          <w:p w14:paraId="4EAFBE48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合作学习；解决问题学习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723BC0E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小组课上展示；</w:t>
            </w:r>
          </w:p>
          <w:p w14:paraId="40F22E24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文学知识图谱；</w:t>
            </w:r>
          </w:p>
          <w:p w14:paraId="25E0F8BE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课堂问答/讨论；读书笔记</w:t>
            </w:r>
          </w:p>
          <w:p w14:paraId="42B34673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A270CE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0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CE9688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71B772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2</w:t>
            </w:r>
          </w:p>
        </w:tc>
      </w:tr>
      <w:tr w14:paraId="2CD6C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49951D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i/>
                <w:iCs/>
              </w:rPr>
              <w:t>King Lear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0EA4CB4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讲述教学法；讨论法；问答法；对话法；价值澄清教学法；</w:t>
            </w:r>
          </w:p>
          <w:p w14:paraId="678D870E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合作学习，问题导向学习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83130E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小组课上展示；</w:t>
            </w:r>
          </w:p>
          <w:p w14:paraId="2E7EDA4D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课堂问答、讨论；读书笔记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3898A1F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0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84B268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BD363F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</w:tr>
      <w:tr w14:paraId="3F1B3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EB0FF2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  <w:i/>
                <w:iCs/>
              </w:rPr>
              <w:t>Macbeth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CFA12A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讲述教学法；讨论法；问答法；对话法；省思教学法；</w:t>
            </w:r>
          </w:p>
          <w:p w14:paraId="32669177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合作学习，专题学习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E74777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小组课上展示；</w:t>
            </w:r>
          </w:p>
          <w:p w14:paraId="7AAD73C6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课堂问答、讨论；读书笔记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3F6112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0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7BF056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2C01CBD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</w:tr>
      <w:tr w14:paraId="0891C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2B25B3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i/>
                <w:iCs/>
              </w:rPr>
              <w:t>The Tempest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51EFDB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讲述教学法；讨论法；问答法；对话法；价值澄清教学法；</w:t>
            </w:r>
          </w:p>
          <w:p w14:paraId="576BAEBA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合作学习，问题导向学习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1AED4F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小组课上展示；</w:t>
            </w:r>
          </w:p>
          <w:p w14:paraId="790EE46F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课堂问答、讨论；读书笔记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5E7660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0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F02B0D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B053F5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</w:tr>
      <w:tr w14:paraId="694A3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8E1C61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cs="Times New Roman"/>
                <w:bCs/>
              </w:rPr>
            </w:pPr>
            <w:r>
              <w:rPr>
                <w:rFonts w:hint="eastAsia"/>
                <w:i/>
                <w:iCs/>
              </w:rPr>
              <w:t>As You Like It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E39DD6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讲述教学法；讨论法；问答法；对话法；情境教学法，价值澄清教学法；</w:t>
            </w:r>
          </w:p>
          <w:p w14:paraId="012B0A77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合作学习，专题学习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3D2409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读书报告；小组课上展示；读书笔记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9C5EF0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0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F2F155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21230B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</w:tr>
      <w:tr w14:paraId="37F19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006B753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cs="Times New Roman"/>
                <w:bCs/>
              </w:rPr>
            </w:pPr>
            <w:r>
              <w:rPr>
                <w:rFonts w:hint="eastAsia"/>
                <w:bCs/>
                <w:i/>
                <w:iCs/>
              </w:rPr>
              <w:t>Much Ado About Nothing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B3DC5E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讲述教学法；讨论法；问答法；对话法；多媒体教学法；</w:t>
            </w:r>
          </w:p>
          <w:p w14:paraId="1B19ED99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合作学习，解决问题学习实践教学法；表演教学法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BCCC57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读书报告；小组课上展示；读书笔记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F80392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0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2ADA2FA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A52075E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</w:tr>
      <w:tr w14:paraId="7AB63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D37682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cs="Times New Roman"/>
                <w:bCs/>
              </w:rPr>
            </w:pPr>
            <w:r>
              <w:rPr>
                <w:rFonts w:hint="eastAsia"/>
                <w:bCs/>
                <w:i/>
                <w:iCs/>
              </w:rPr>
              <w:t>The Winter</w:t>
            </w:r>
            <w:r>
              <w:rPr>
                <w:bCs/>
                <w:i/>
                <w:iCs/>
              </w:rPr>
              <w:t>’</w:t>
            </w:r>
            <w:r>
              <w:rPr>
                <w:rFonts w:hint="eastAsia"/>
                <w:bCs/>
                <w:i/>
                <w:iCs/>
              </w:rPr>
              <w:t>s Tale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D764593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讲述教学法；讨论法；问答法；对话法；价值澄清教学法；实践教学法；表演教学法</w:t>
            </w:r>
          </w:p>
          <w:p w14:paraId="2D57E4E8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合作学习，专题学习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FF55D38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读书报告；小组课上展示；读书笔记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05E50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0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2FA2B8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28245A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</w:tr>
      <w:tr w14:paraId="5C1A0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0474CF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i/>
                <w:iCs/>
                <w:shd w:val="clear" w:color="auto" w:fill="FFFFFF"/>
                <w:lang w:bidi="ar"/>
              </w:rPr>
              <w:t>The Tragedy of Julius Caesar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201F242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讲述教学法；讨论法；问答法；对话法；省思教学法；</w:t>
            </w:r>
          </w:p>
          <w:p w14:paraId="6FB78545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合作学习，专题学习；实践教学法；表演教学法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80AA37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读书报告；小组课上展示；读书笔记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0EED7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0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B83D27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0EDBFB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</w:tr>
      <w:tr w14:paraId="48963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405C05"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6172547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8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FDD93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24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82738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32</w:t>
            </w:r>
          </w:p>
        </w:tc>
      </w:tr>
    </w:tbl>
    <w:p w14:paraId="45D5DAC6">
      <w:pPr>
        <w:pStyle w:val="18"/>
        <w:spacing w:before="326" w:beforeLines="100" w:after="163"/>
      </w:pPr>
      <w:bookmarkStart w:id="2" w:name="OLE_LINK2"/>
      <w:bookmarkStart w:id="3" w:name="OLE_LINK1"/>
      <w:r>
        <w:rPr>
          <w:rFonts w:hint="eastAsia"/>
        </w:rPr>
        <w:t>（四）课内实验项目与基本要求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4715D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6B36C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E19BE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E49E4">
            <w:pPr>
              <w:pStyle w:val="14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58EB0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5B9FCE20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CB399D0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1208187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4B6E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37F0C"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DB44C">
            <w:pPr>
              <w:snapToGrid w:val="0"/>
              <w:spacing w:before="163" w:beforeLines="50" w:after="163" w:afterLines="50" w:line="288" w:lineRule="auto"/>
              <w:jc w:val="center"/>
            </w:pPr>
            <w:r>
              <w:rPr>
                <w:rFonts w:hint="eastAsia"/>
                <w:sz w:val="16"/>
                <w:szCs w:val="16"/>
              </w:rPr>
              <w:t>莎士比亚-信息搜索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A7F47">
            <w:pPr>
              <w:snapToGrid w:val="0"/>
              <w:spacing w:before="163" w:beforeLines="50" w:after="163" w:afterLines="50" w:line="288" w:lineRule="auto"/>
              <w:jc w:val="center"/>
            </w:pPr>
            <w:r>
              <w:rPr>
                <w:rFonts w:hint="eastAsia"/>
                <w:sz w:val="16"/>
                <w:szCs w:val="16"/>
              </w:rPr>
              <w:t>长篇文章的信息搜索方法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1C56B">
            <w:pPr>
              <w:snapToGrid w:val="0"/>
              <w:spacing w:before="163" w:beforeLines="50" w:after="163" w:afterLines="50" w:line="288" w:lineRule="auto"/>
              <w:jc w:val="center"/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20F9907">
            <w:pPr>
              <w:snapToGrid w:val="0"/>
              <w:spacing w:before="163" w:beforeLines="50" w:after="163" w:afterLines="50" w:line="288" w:lineRule="auto"/>
              <w:jc w:val="center"/>
            </w:pPr>
            <w:r>
              <w:rPr>
                <w:rFonts w:hint="eastAsia"/>
                <w:sz w:val="16"/>
                <w:szCs w:val="16"/>
              </w:rPr>
              <w:t>综合</w:t>
            </w:r>
          </w:p>
        </w:tc>
      </w:tr>
      <w:tr w14:paraId="6A7FD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AA231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D1D06">
            <w:pPr>
              <w:snapToGrid w:val="0"/>
              <w:spacing w:before="163" w:beforeLines="50" w:after="163" w:afterLines="50" w:line="288" w:lineRule="auto"/>
              <w:jc w:val="center"/>
            </w:pPr>
            <w:r>
              <w:rPr>
                <w:rFonts w:hint="eastAsia"/>
                <w:sz w:val="16"/>
                <w:szCs w:val="16"/>
              </w:rPr>
              <w:t>莎士比亚-读书报告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F463E">
            <w:pPr>
              <w:snapToGrid w:val="0"/>
              <w:spacing w:before="163" w:beforeLines="50" w:after="163" w:afterLines="50" w:line="288" w:lineRule="auto"/>
              <w:jc w:val="center"/>
            </w:pPr>
            <w:r>
              <w:rPr>
                <w:rFonts w:hint="eastAsia"/>
                <w:sz w:val="16"/>
                <w:szCs w:val="16"/>
              </w:rPr>
              <w:t>根据教师提供的莎剧素材撰写读书报告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6BB45">
            <w:pPr>
              <w:snapToGrid w:val="0"/>
              <w:spacing w:before="163" w:beforeLines="50" w:after="163" w:afterLines="50" w:line="288" w:lineRule="auto"/>
              <w:jc w:val="center"/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9AB44EB">
            <w:pPr>
              <w:snapToGrid w:val="0"/>
              <w:spacing w:before="163" w:beforeLines="50" w:after="163" w:afterLines="50" w:line="288" w:lineRule="auto"/>
              <w:jc w:val="center"/>
            </w:pPr>
            <w:r>
              <w:rPr>
                <w:rFonts w:hint="eastAsia"/>
                <w:sz w:val="16"/>
                <w:szCs w:val="16"/>
              </w:rPr>
              <w:t>综合</w:t>
            </w:r>
          </w:p>
        </w:tc>
      </w:tr>
      <w:tr w14:paraId="4326D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A17E3">
            <w:pPr>
              <w:pStyle w:val="15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34931">
            <w:pPr>
              <w:snapToGrid w:val="0"/>
              <w:spacing w:before="163" w:beforeLines="50" w:after="163" w:afterLines="50" w:line="288" w:lineRule="auto"/>
              <w:jc w:val="center"/>
            </w:pPr>
            <w:r>
              <w:rPr>
                <w:rFonts w:hint="eastAsia"/>
                <w:sz w:val="16"/>
                <w:szCs w:val="16"/>
              </w:rPr>
              <w:t>莎士比亚-戏剧表演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B9B97">
            <w:pPr>
              <w:snapToGrid w:val="0"/>
              <w:spacing w:before="163" w:beforeLines="50" w:after="163" w:afterLines="50" w:line="288" w:lineRule="auto"/>
              <w:jc w:val="center"/>
            </w:pPr>
            <w:r>
              <w:rPr>
                <w:rFonts w:hint="eastAsia"/>
                <w:sz w:val="16"/>
                <w:szCs w:val="16"/>
              </w:rPr>
              <w:t>学生根据莎士比亚戏剧剧本表演戏剧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CD1F0">
            <w:pPr>
              <w:snapToGrid w:val="0"/>
              <w:spacing w:before="163" w:beforeLines="50" w:after="163" w:afterLines="50" w:line="288" w:lineRule="auto"/>
              <w:jc w:val="center"/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56EB51C">
            <w:pPr>
              <w:snapToGrid w:val="0"/>
              <w:spacing w:before="163" w:beforeLines="50" w:after="163" w:afterLines="50" w:line="288" w:lineRule="auto"/>
              <w:jc w:val="center"/>
            </w:pPr>
            <w:r>
              <w:rPr>
                <w:rFonts w:hint="eastAsia"/>
                <w:sz w:val="16"/>
                <w:szCs w:val="16"/>
              </w:rPr>
              <w:t>综合</w:t>
            </w:r>
          </w:p>
        </w:tc>
      </w:tr>
      <w:tr w14:paraId="76E08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0B262">
            <w:pPr>
              <w:pStyle w:val="15"/>
            </w:pPr>
            <w:r>
              <w:rPr>
                <w:rFonts w:hint="eastAsia"/>
              </w:rPr>
              <w:t>4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8219C">
            <w:pPr>
              <w:snapToGrid w:val="0"/>
              <w:spacing w:before="163" w:beforeLines="50" w:after="163" w:afterLines="50" w:line="288" w:lineRule="auto"/>
              <w:jc w:val="center"/>
            </w:pPr>
            <w:r>
              <w:rPr>
                <w:rFonts w:hint="eastAsia"/>
                <w:sz w:val="16"/>
                <w:szCs w:val="16"/>
              </w:rPr>
              <w:t>莎士比亚-背诵诗歌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E2681">
            <w:pPr>
              <w:snapToGrid w:val="0"/>
              <w:spacing w:before="163" w:beforeLines="50" w:after="163" w:afterLines="50" w:line="288" w:lineRule="auto"/>
              <w:jc w:val="center"/>
            </w:pPr>
            <w:r>
              <w:rPr>
                <w:rFonts w:hint="eastAsia"/>
                <w:sz w:val="16"/>
                <w:szCs w:val="16"/>
              </w:rPr>
              <w:t>背诵莎士比亚戏剧经典台词和十四行诗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7EB9E">
            <w:pPr>
              <w:snapToGrid w:val="0"/>
              <w:spacing w:before="163" w:beforeLines="50" w:after="163" w:afterLines="50" w:line="288" w:lineRule="auto"/>
              <w:jc w:val="center"/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506F48D">
            <w:pPr>
              <w:snapToGrid w:val="0"/>
              <w:spacing w:before="163" w:beforeLines="50" w:after="163" w:afterLines="50" w:line="288" w:lineRule="auto"/>
              <w:jc w:val="center"/>
            </w:pPr>
            <w:r>
              <w:rPr>
                <w:rFonts w:hint="eastAsia"/>
                <w:sz w:val="16"/>
                <w:szCs w:val="16"/>
              </w:rPr>
              <w:t>综合</w:t>
            </w:r>
          </w:p>
        </w:tc>
      </w:tr>
      <w:tr w14:paraId="6966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65CE3">
            <w:pPr>
              <w:pStyle w:val="14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11B980FB">
      <w:pPr>
        <w:pStyle w:val="17"/>
        <w:spacing w:before="326" w:beforeLines="100" w:line="360" w:lineRule="auto"/>
        <w:ind w:firstLine="140" w:firstLineChars="50"/>
        <w:rPr>
          <w:rFonts w:ascii="黑体" w:hAnsi="宋体"/>
        </w:rPr>
      </w:pPr>
    </w:p>
    <w:p w14:paraId="1495D29C">
      <w:pPr>
        <w:pStyle w:val="17"/>
        <w:spacing w:before="326" w:beforeLines="100" w:line="360" w:lineRule="auto"/>
        <w:ind w:firstLine="140" w:firstLineChars="50"/>
        <w:rPr>
          <w:rFonts w:ascii="黑体" w:hAnsi="宋体"/>
        </w:rPr>
      </w:pPr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9"/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3710"/>
        <w:gridCol w:w="4766"/>
      </w:tblGrid>
      <w:tr w14:paraId="05297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643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2BD71B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4679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BFE7B9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课程思政教学设计</w:t>
            </w:r>
          </w:p>
        </w:tc>
      </w:tr>
      <w:tr w14:paraId="7BE63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27" w:hRule="atLeast"/>
          <w:jc w:val="center"/>
        </w:trPr>
        <w:tc>
          <w:tcPr>
            <w:tcW w:w="3643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38D874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4679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78B090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</w:tr>
      <w:tr w14:paraId="6A851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AB60245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cs="Times New Roman"/>
                <w:bCs/>
              </w:rPr>
            </w:pPr>
            <w:r>
              <w:rPr>
                <w:rFonts w:eastAsia="Garamond" w:cs="Times New Roman"/>
                <w:shd w:val="clear" w:color="auto" w:fill="FFFFFF"/>
                <w:lang w:bidi="ar"/>
              </w:rPr>
              <w:t>Introduction to William Shakespeare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381ED9A">
            <w:pPr>
              <w:widowControl w:val="0"/>
              <w:snapToGrid w:val="0"/>
              <w:spacing w:line="300" w:lineRule="auto"/>
              <w:ind w:right="-818" w:rightChars="-341"/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人文主义关爱教育；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莎士比亚四大悲剧于四大喜剧。</w:t>
            </w:r>
          </w:p>
        </w:tc>
      </w:tr>
      <w:tr w14:paraId="05363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E422919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i/>
                <w:iCs/>
                <w:shd w:val="clear" w:color="auto" w:fill="FFFFFF"/>
                <w:lang w:bidi="ar"/>
              </w:rPr>
              <w:t>The Taming of the Shrew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B2F596F">
            <w:pPr>
              <w:widowControl w:val="0"/>
              <w:snapToGrid w:val="0"/>
              <w:spacing w:line="300" w:lineRule="auto"/>
              <w:ind w:right="-818" w:rightChars="-341"/>
              <w:jc w:val="both"/>
              <w:rPr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</w:t>
            </w: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《训悍妇》戏剧特点与</w:t>
            </w:r>
          </w:p>
          <w:p w14:paraId="0286B764">
            <w:pPr>
              <w:widowControl w:val="0"/>
              <w:snapToGrid w:val="0"/>
              <w:spacing w:line="300" w:lineRule="auto"/>
              <w:ind w:right="-818" w:rightChars="-341"/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优秀道德品质和家庭美德的培养。</w:t>
            </w:r>
          </w:p>
        </w:tc>
      </w:tr>
      <w:tr w14:paraId="341DA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BD27E78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i/>
                <w:iCs/>
                <w:shd w:val="clear" w:color="auto" w:fill="FFFFFF"/>
                <w:lang w:bidi="ar"/>
              </w:rPr>
              <w:t>Romeo and Juliet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4A72AA">
            <w:pPr>
              <w:widowControl w:val="0"/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人文主义素养的培养；与中国《梁山伯与祝英台》比较研究；封建主义的批判。</w:t>
            </w:r>
          </w:p>
        </w:tc>
      </w:tr>
      <w:tr w14:paraId="3B51E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190B847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cs="Times New Roman"/>
                <w:i/>
                <w:iCs/>
                <w:shd w:val="clear" w:color="auto" w:fill="FFFFFF"/>
                <w:lang w:bidi="ar"/>
              </w:rPr>
            </w:pPr>
            <w:r>
              <w:rPr>
                <w:rFonts w:hint="eastAsia" w:cs="Times New Roman"/>
                <w:i/>
                <w:iCs/>
                <w:shd w:val="clear" w:color="auto" w:fill="FFFFFF"/>
                <w:lang w:bidi="ar"/>
              </w:rPr>
              <w:t>A Mid-Summer Night</w:t>
            </w:r>
            <w:r>
              <w:rPr>
                <w:rFonts w:cs="Times New Roman"/>
                <w:i/>
                <w:iCs/>
                <w:shd w:val="clear" w:color="auto" w:fill="FFFFFF"/>
                <w:lang w:bidi="ar"/>
              </w:rPr>
              <w:t>’</w:t>
            </w:r>
            <w:r>
              <w:rPr>
                <w:rFonts w:hint="eastAsia" w:cs="Times New Roman"/>
                <w:i/>
                <w:iCs/>
                <w:shd w:val="clear" w:color="auto" w:fill="FFFFFF"/>
                <w:lang w:bidi="ar"/>
              </w:rPr>
              <w:t>s Dream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7FA60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人文主义；反对封建主义。</w:t>
            </w:r>
          </w:p>
        </w:tc>
      </w:tr>
      <w:tr w14:paraId="1F2DD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016D332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cs="Times New Roman"/>
                <w:bCs/>
              </w:rPr>
            </w:pPr>
            <w:r>
              <w:rPr>
                <w:rFonts w:hint="eastAsia"/>
                <w:bCs/>
                <w:i/>
                <w:iCs/>
              </w:rPr>
              <w:t>Henry the Fourth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6B0FEDB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auto"/>
              <w:ind w:left="79" w:leftChars="33"/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人文主义素养的培养；关心国家大事；爱国主义教育。</w:t>
            </w:r>
          </w:p>
        </w:tc>
      </w:tr>
      <w:tr w14:paraId="48CC3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D42ADE1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  <w:i/>
                <w:iCs/>
              </w:rPr>
              <w:t>Hamlet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2155E37">
            <w:pPr>
              <w:widowControl/>
              <w:jc w:val="left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人文主义精神的培养。</w:t>
            </w:r>
          </w:p>
        </w:tc>
      </w:tr>
      <w:tr w14:paraId="68870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D5E3F1E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i/>
                <w:iCs/>
                <w:shd w:val="clear" w:color="auto" w:fill="FFFFFF"/>
                <w:lang w:bidi="ar"/>
              </w:rPr>
              <w:t>Twelfth Night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3A83F0A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auto"/>
              <w:ind w:left="79" w:leftChars="33"/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人文主义对爱情和友谊的美好理想，表现了生活之美、爱情之美。</w:t>
            </w:r>
          </w:p>
        </w:tc>
      </w:tr>
      <w:tr w14:paraId="7E7B2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662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0233076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i/>
                <w:iCs/>
              </w:rPr>
              <w:t>Othello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106D738">
            <w:pPr>
              <w:widowControl w:val="0"/>
              <w:snapToGrid w:val="0"/>
              <w:spacing w:line="300" w:lineRule="auto"/>
              <w:ind w:right="6"/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奥赛罗的悲剧英雄形象是如何树立的；</w:t>
            </w:r>
            <w:r>
              <w:rPr>
                <w:rFonts w:hint="eastAsia"/>
                <w:bCs/>
                <w:sz w:val="20"/>
                <w:szCs w:val="20"/>
              </w:rPr>
              <w:t>种族主义的批判；嫉妒心里的危害。</w:t>
            </w:r>
          </w:p>
        </w:tc>
      </w:tr>
      <w:tr w14:paraId="1D18C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5038EDC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Sonnets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48C800B">
            <w:pPr>
              <w:widowControl w:val="0"/>
              <w:snapToGrid w:val="0"/>
              <w:spacing w:line="300" w:lineRule="auto"/>
              <w:ind w:right="6"/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《十四行诗》的传统与格律,与中国诗歌对比，理解中国诗歌的伟大之处</w:t>
            </w:r>
            <w:r>
              <w:rPr>
                <w:rFonts w:hint="eastAsia"/>
                <w:bCs/>
                <w:sz w:val="20"/>
                <w:szCs w:val="20"/>
              </w:rPr>
              <w:t>。</w:t>
            </w:r>
          </w:p>
        </w:tc>
      </w:tr>
      <w:tr w14:paraId="5A250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48008E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i/>
                <w:iCs/>
              </w:rPr>
              <w:t>King Lear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44A1C1A">
            <w:pPr>
              <w:widowControl w:val="0"/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奥赛罗的悲剧英雄形象是如何树立的；</w:t>
            </w:r>
            <w:r>
              <w:rPr>
                <w:rFonts w:hint="eastAsia"/>
                <w:bCs/>
                <w:sz w:val="20"/>
                <w:szCs w:val="20"/>
              </w:rPr>
              <w:t>种族主义的批判；嫉妒心里的危害。</w:t>
            </w:r>
          </w:p>
        </w:tc>
      </w:tr>
      <w:tr w14:paraId="18172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A81E64B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  <w:i/>
                <w:iCs/>
              </w:rPr>
              <w:t>Macbeth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46CAC34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auto"/>
              <w:ind w:left="79" w:leftChars="33"/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  <w:shd w:val="clear" w:color="auto" w:fill="FFFFFF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讨论麦克白的悲剧特点；</w:t>
            </w:r>
            <w:r>
              <w:rPr>
                <w:rFonts w:hint="eastAsia"/>
                <w:bCs/>
                <w:sz w:val="20"/>
                <w:szCs w:val="20"/>
              </w:rPr>
              <w:t>思政要点：贪婪的代价；忠诚教育。</w:t>
            </w:r>
          </w:p>
        </w:tc>
      </w:tr>
      <w:tr w14:paraId="66E2D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A8EB4C3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i/>
                <w:iCs/>
              </w:rPr>
              <w:t>The Tempest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FB9684B">
            <w:pPr>
              <w:widowControl/>
              <w:jc w:val="left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人文主义素养的培养；宽容的道德培养。</w:t>
            </w:r>
          </w:p>
        </w:tc>
      </w:tr>
      <w:tr w14:paraId="699CA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813C67C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cs="Times New Roman"/>
                <w:bCs/>
              </w:rPr>
            </w:pPr>
            <w:r>
              <w:rPr>
                <w:rFonts w:hint="eastAsia"/>
                <w:i/>
                <w:iCs/>
              </w:rPr>
              <w:t>As You Like It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B25612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auto"/>
              <w:ind w:left="79" w:leftChars="33"/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莎士比亚的人文主义精神在《皆大欢喜》主要表现在两个方面：一是对人类追求美好事物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爱情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幸福的肯定，宣扬人类的真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善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美；二是恶人并没有得到惩罚而是得到宽恕，最终好人和恶人互相和解达到和谐统一。</w:t>
            </w:r>
          </w:p>
        </w:tc>
      </w:tr>
      <w:tr w14:paraId="5904E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AC86E0E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cs="Times New Roman"/>
                <w:bCs/>
              </w:rPr>
            </w:pPr>
            <w:r>
              <w:rPr>
                <w:rFonts w:hint="eastAsia"/>
                <w:bCs/>
                <w:i/>
                <w:iCs/>
              </w:rPr>
              <w:t>Much Ado About Nothing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632E195">
            <w:pPr>
              <w:widowControl w:val="0"/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嫉妒的危害；善良的道德教育。</w:t>
            </w:r>
          </w:p>
        </w:tc>
      </w:tr>
      <w:tr w14:paraId="1E296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CA2DEAC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cs="Times New Roman"/>
                <w:bCs/>
              </w:rPr>
            </w:pPr>
            <w:r>
              <w:rPr>
                <w:rFonts w:hint="eastAsia"/>
                <w:bCs/>
                <w:i/>
                <w:iCs/>
              </w:rPr>
              <w:t>The Winter</w:t>
            </w:r>
            <w:r>
              <w:rPr>
                <w:bCs/>
                <w:i/>
                <w:iCs/>
              </w:rPr>
              <w:t>’</w:t>
            </w:r>
            <w:r>
              <w:rPr>
                <w:rFonts w:hint="eastAsia"/>
                <w:bCs/>
                <w:i/>
                <w:iCs/>
              </w:rPr>
              <w:t>s Tale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F453C5B">
            <w:pPr>
              <w:widowControl w:val="0"/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尊重女性；女性主义的教育。</w:t>
            </w:r>
          </w:p>
        </w:tc>
      </w:tr>
      <w:tr w14:paraId="1FC4A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47C07A9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i/>
                <w:iCs/>
                <w:shd w:val="clear" w:color="auto" w:fill="FFFFFF"/>
                <w:lang w:bidi="ar"/>
              </w:rPr>
              <w:t>The Tragedy of Julius Caesar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53EA820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爱国主义教育；忠诚教育。</w:t>
            </w:r>
          </w:p>
        </w:tc>
      </w:tr>
    </w:tbl>
    <w:p w14:paraId="55B8917D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26"/>
        <w:gridCol w:w="2410"/>
        <w:gridCol w:w="627"/>
        <w:gridCol w:w="627"/>
        <w:gridCol w:w="627"/>
        <w:gridCol w:w="627"/>
        <w:gridCol w:w="627"/>
        <w:gridCol w:w="627"/>
        <w:gridCol w:w="723"/>
      </w:tblGrid>
      <w:tr w14:paraId="10C64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4B2592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26" w:type="dxa"/>
            <w:vMerge w:val="restart"/>
            <w:tcBorders>
              <w:top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13FB59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410" w:type="dxa"/>
            <w:vMerge w:val="restart"/>
            <w:tcBorders>
              <w:top w:val="single" w:color="auto" w:sz="12" w:space="0"/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E9E63AB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762" w:type="dxa"/>
            <w:gridSpan w:val="6"/>
            <w:tcBorders>
              <w:top w:val="single" w:color="auto" w:sz="12" w:space="0"/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D6264E5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2C593DD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CF04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vMerge w:val="continue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11D2FC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6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7BE0F1F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1571CCF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27" w:type="dxa"/>
            <w:tcBorders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5F9177B">
            <w:pPr>
              <w:pStyle w:val="17"/>
              <w:widowControl w:val="0"/>
              <w:spacing w:line="240" w:lineRule="auto"/>
              <w:jc w:val="center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1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0067AD7">
            <w:pPr>
              <w:pStyle w:val="17"/>
              <w:widowControl w:val="0"/>
              <w:spacing w:line="240" w:lineRule="auto"/>
              <w:jc w:val="center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2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3A34393">
            <w:pPr>
              <w:pStyle w:val="17"/>
              <w:widowControl w:val="0"/>
              <w:spacing w:line="240" w:lineRule="auto"/>
              <w:jc w:val="center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3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9644475">
            <w:pPr>
              <w:pStyle w:val="17"/>
              <w:widowControl w:val="0"/>
              <w:spacing w:line="240" w:lineRule="auto"/>
              <w:jc w:val="center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4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6A2FF1D">
            <w:pPr>
              <w:pStyle w:val="17"/>
              <w:widowControl w:val="0"/>
              <w:spacing w:line="240" w:lineRule="auto"/>
              <w:jc w:val="center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5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621E7BC">
            <w:pPr>
              <w:pStyle w:val="17"/>
              <w:widowControl w:val="0"/>
              <w:spacing w:line="240" w:lineRule="auto"/>
              <w:jc w:val="center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6</w:t>
            </w:r>
          </w:p>
        </w:tc>
        <w:tc>
          <w:tcPr>
            <w:tcW w:w="723" w:type="dxa"/>
            <w:vMerge w:val="continue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DC3D5DD">
            <w:pPr>
              <w:pStyle w:val="17"/>
              <w:widowControl w:val="0"/>
              <w:spacing w:line="240" w:lineRule="auto"/>
              <w:jc w:val="center"/>
              <w:rPr>
                <w:rFonts w:cs="Arial"/>
                <w:bCs/>
                <w:sz w:val="21"/>
                <w:szCs w:val="21"/>
              </w:rPr>
            </w:pPr>
          </w:p>
        </w:tc>
      </w:tr>
      <w:tr w14:paraId="6485E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9B22827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72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2BB3F7B">
            <w:pPr>
              <w:widowControl w:val="0"/>
              <w:snapToGrid w:val="0"/>
              <w:spacing w:before="163" w:beforeLines="50" w:after="163" w:afterLines="50"/>
              <w:jc w:val="center"/>
            </w:pPr>
            <w:r>
              <w:rPr>
                <w:rFonts w:hint="eastAsia"/>
                <w:bCs/>
                <w:color w:val="000000"/>
                <w:szCs w:val="20"/>
              </w:rPr>
              <w:t>40%</w:t>
            </w:r>
          </w:p>
        </w:tc>
        <w:tc>
          <w:tcPr>
            <w:tcW w:w="2410" w:type="dxa"/>
            <w:tcBorders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47F06F5">
            <w:pPr>
              <w:widowControl w:val="0"/>
              <w:snapToGrid w:val="0"/>
              <w:spacing w:before="163" w:beforeLines="50" w:after="163" w:afterLines="50"/>
              <w:jc w:val="center"/>
            </w:pPr>
            <w:r>
              <w:rPr>
                <w:rFonts w:hint="eastAsia"/>
                <w:bCs/>
                <w:color w:val="000000"/>
                <w:szCs w:val="20"/>
              </w:rPr>
              <w:t>期末考试或论文</w:t>
            </w:r>
          </w:p>
        </w:tc>
        <w:tc>
          <w:tcPr>
            <w:tcW w:w="627" w:type="dxa"/>
            <w:tcBorders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83AC476">
            <w:pPr>
              <w:pStyle w:val="15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18FE373">
            <w:pPr>
              <w:pStyle w:val="15"/>
              <w:widowControl w:val="0"/>
              <w:rPr>
                <w:rFonts w:cs="Times New Roman"/>
              </w:rPr>
            </w:pPr>
            <w:r>
              <w:rPr>
                <w:rFonts w:hint="eastAsia" w:cs="Times New Roman"/>
              </w:rPr>
              <w:t>2</w:t>
            </w:r>
            <w:r>
              <w:rPr>
                <w:rFonts w:cs="Times New Roma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8155A91">
            <w:pPr>
              <w:pStyle w:val="15"/>
              <w:widowControl w:val="0"/>
              <w:rPr>
                <w:rFonts w:cs="Times New Roman"/>
              </w:rPr>
            </w:pPr>
            <w:r>
              <w:rPr>
                <w:rFonts w:hint="eastAsia" w:cs="Times New Roman"/>
              </w:rPr>
              <w:t>20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6403176">
            <w:pPr>
              <w:pStyle w:val="15"/>
              <w:widowControl w:val="0"/>
              <w:rPr>
                <w:rFonts w:cs="Times New Roman"/>
              </w:rPr>
            </w:pPr>
            <w:r>
              <w:rPr>
                <w:rFonts w:hint="eastAsia" w:cs="Times New Roman"/>
              </w:rPr>
              <w:t>1</w:t>
            </w:r>
            <w:r>
              <w:rPr>
                <w:rFonts w:cs="Times New Roma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7B65777">
            <w:pPr>
              <w:pStyle w:val="15"/>
              <w:widowControl w:val="0"/>
              <w:rPr>
                <w:rFonts w:cs="Times New Roman"/>
              </w:rPr>
            </w:pPr>
            <w:r>
              <w:rPr>
                <w:rFonts w:hint="eastAsia" w:cs="Times New Roman"/>
              </w:rPr>
              <w:t>1</w:t>
            </w:r>
            <w:r>
              <w:rPr>
                <w:rFonts w:cs="Times New Roma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9465F6D">
            <w:pPr>
              <w:pStyle w:val="15"/>
              <w:widowControl w:val="0"/>
              <w:rPr>
                <w:rFonts w:cs="Times New Roman"/>
              </w:rPr>
            </w:pPr>
            <w:r>
              <w:rPr>
                <w:rFonts w:hint="eastAsia" w:cs="Times New Roman"/>
              </w:rPr>
              <w:t>10</w:t>
            </w:r>
          </w:p>
        </w:tc>
        <w:tc>
          <w:tcPr>
            <w:tcW w:w="723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BC7A15A">
            <w:pPr>
              <w:pStyle w:val="15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14:paraId="02286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F3607E3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72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6D9894C">
            <w:pPr>
              <w:widowControl w:val="0"/>
              <w:snapToGrid w:val="0"/>
              <w:spacing w:before="163" w:beforeLines="50" w:after="163" w:afterLines="50"/>
              <w:jc w:val="center"/>
            </w:pPr>
            <w:r>
              <w:rPr>
                <w:rFonts w:hint="eastAsia"/>
                <w:bCs/>
                <w:color w:val="000000"/>
                <w:szCs w:val="20"/>
              </w:rPr>
              <w:t>30%</w:t>
            </w:r>
          </w:p>
        </w:tc>
        <w:tc>
          <w:tcPr>
            <w:tcW w:w="2410" w:type="dxa"/>
            <w:tcBorders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2750FEF">
            <w:pPr>
              <w:widowControl w:val="0"/>
              <w:snapToGrid w:val="0"/>
              <w:spacing w:before="163" w:beforeLines="50" w:after="163" w:afterLines="50"/>
              <w:jc w:val="center"/>
              <w:rPr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/>
                <w:szCs w:val="20"/>
              </w:rPr>
              <w:t>课堂表现（阅读台词、回答问题等）</w:t>
            </w:r>
          </w:p>
        </w:tc>
        <w:tc>
          <w:tcPr>
            <w:tcW w:w="627" w:type="dxa"/>
            <w:tcBorders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FF1302C">
            <w:pPr>
              <w:pStyle w:val="15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2D1D4A3">
            <w:pPr>
              <w:pStyle w:val="15"/>
              <w:widowControl w:val="0"/>
              <w:rPr>
                <w:rFonts w:cs="Times New Roman"/>
              </w:rPr>
            </w:pPr>
            <w:r>
              <w:rPr>
                <w:rFonts w:hint="eastAsia" w:cs="Times New Roman"/>
              </w:rPr>
              <w:t>2</w:t>
            </w:r>
            <w:r>
              <w:rPr>
                <w:rFonts w:cs="Times New Roma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6D74416">
            <w:pPr>
              <w:pStyle w:val="15"/>
              <w:widowControl w:val="0"/>
              <w:rPr>
                <w:rFonts w:cs="Times New Roman"/>
              </w:rPr>
            </w:pP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B5BD5C8">
            <w:pPr>
              <w:pStyle w:val="15"/>
              <w:widowControl w:val="0"/>
              <w:rPr>
                <w:rFonts w:cs="Times New Roman"/>
              </w:rPr>
            </w:pPr>
            <w:r>
              <w:rPr>
                <w:rFonts w:hint="eastAsia" w:cs="Times New Roman"/>
              </w:rPr>
              <w:t>3</w:t>
            </w:r>
            <w:r>
              <w:rPr>
                <w:rFonts w:cs="Times New Roma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D25590A">
            <w:pPr>
              <w:pStyle w:val="15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CD58004">
            <w:pPr>
              <w:pStyle w:val="15"/>
              <w:widowControl w:val="0"/>
              <w:rPr>
                <w:rFonts w:cs="Times New Roman"/>
              </w:rPr>
            </w:pPr>
          </w:p>
        </w:tc>
        <w:tc>
          <w:tcPr>
            <w:tcW w:w="723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59CF9CF">
            <w:pPr>
              <w:pStyle w:val="15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14:paraId="7A2F3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396ADFD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72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69DA97E">
            <w:pPr>
              <w:widowControl w:val="0"/>
              <w:snapToGrid w:val="0"/>
              <w:spacing w:before="163" w:beforeLines="50" w:after="163" w:afterLines="50"/>
              <w:jc w:val="center"/>
            </w:pPr>
            <w:r>
              <w:rPr>
                <w:rFonts w:hint="eastAsia"/>
                <w:bCs/>
                <w:color w:val="000000"/>
                <w:szCs w:val="20"/>
              </w:rPr>
              <w:t>20%</w:t>
            </w:r>
          </w:p>
        </w:tc>
        <w:tc>
          <w:tcPr>
            <w:tcW w:w="2410" w:type="dxa"/>
            <w:tcBorders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97C0471">
            <w:pPr>
              <w:widowControl w:val="0"/>
              <w:snapToGrid w:val="0"/>
              <w:spacing w:before="163" w:beforeLines="50" w:after="163" w:afterLines="50"/>
              <w:jc w:val="center"/>
              <w:rPr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/>
                <w:szCs w:val="20"/>
              </w:rPr>
              <w:t>课后作业或背诵莎士比亚十四行诗</w:t>
            </w:r>
          </w:p>
        </w:tc>
        <w:tc>
          <w:tcPr>
            <w:tcW w:w="627" w:type="dxa"/>
            <w:tcBorders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5C32955">
            <w:pPr>
              <w:pStyle w:val="15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158A41">
            <w:pPr>
              <w:pStyle w:val="15"/>
              <w:widowControl w:val="0"/>
              <w:rPr>
                <w:rFonts w:cs="Times New Roman"/>
              </w:rPr>
            </w:pP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465BA80">
            <w:pPr>
              <w:pStyle w:val="15"/>
              <w:widowControl w:val="0"/>
              <w:rPr>
                <w:rFonts w:cs="Times New Roman"/>
              </w:rPr>
            </w:pPr>
            <w:r>
              <w:rPr>
                <w:rFonts w:hint="eastAsia" w:cs="Times New Roman"/>
              </w:rPr>
              <w:t>3</w:t>
            </w:r>
            <w:r>
              <w:rPr>
                <w:rFonts w:cs="Times New Roma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DB0A701">
            <w:pPr>
              <w:pStyle w:val="15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D03976B">
            <w:pPr>
              <w:pStyle w:val="15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DD4DDB4">
            <w:pPr>
              <w:pStyle w:val="15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23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A4A29B8">
            <w:pPr>
              <w:pStyle w:val="15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14:paraId="69D80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163BA86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72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9F74553">
            <w:pPr>
              <w:widowControl w:val="0"/>
              <w:snapToGrid w:val="0"/>
              <w:spacing w:before="163" w:beforeLines="50" w:after="163" w:afterLines="50"/>
              <w:jc w:val="center"/>
            </w:pPr>
            <w:r>
              <w:rPr>
                <w:rFonts w:hint="eastAsia"/>
                <w:bCs/>
                <w:color w:val="000000"/>
                <w:szCs w:val="20"/>
              </w:rPr>
              <w:t>10%</w:t>
            </w:r>
          </w:p>
        </w:tc>
        <w:tc>
          <w:tcPr>
            <w:tcW w:w="2410" w:type="dxa"/>
            <w:tcBorders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E2B6628">
            <w:pPr>
              <w:widowControl w:val="0"/>
              <w:snapToGrid w:val="0"/>
              <w:spacing w:before="163" w:beforeLines="50" w:after="163" w:afterLines="50"/>
              <w:jc w:val="center"/>
            </w:pPr>
            <w:r>
              <w:rPr>
                <w:rFonts w:hint="eastAsia"/>
                <w:bCs/>
                <w:color w:val="000000"/>
                <w:szCs w:val="20"/>
              </w:rPr>
              <w:t>莎士比亚戏剧表演</w:t>
            </w:r>
          </w:p>
        </w:tc>
        <w:tc>
          <w:tcPr>
            <w:tcW w:w="627" w:type="dxa"/>
            <w:tcBorders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1FAEC23">
            <w:pPr>
              <w:pStyle w:val="15"/>
              <w:widowControl w:val="0"/>
              <w:rPr>
                <w:rFonts w:cs="Times New Roman"/>
              </w:rPr>
            </w:pPr>
            <w:r>
              <w:rPr>
                <w:rFonts w:hint="eastAsia" w:cs="Times New Roman"/>
              </w:rPr>
              <w:t>4</w:t>
            </w:r>
            <w:r>
              <w:rPr>
                <w:rFonts w:cs="Times New Roma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241F23A">
            <w:pPr>
              <w:pStyle w:val="15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F66A1E">
            <w:pPr>
              <w:pStyle w:val="15"/>
              <w:widowControl w:val="0"/>
              <w:rPr>
                <w:rFonts w:cs="Times New Roman"/>
              </w:rPr>
            </w:pP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651F2F0">
            <w:pPr>
              <w:pStyle w:val="15"/>
              <w:widowControl w:val="0"/>
              <w:rPr>
                <w:rFonts w:cs="Times New Roman"/>
              </w:rPr>
            </w:pPr>
            <w:r>
              <w:rPr>
                <w:rFonts w:hint="eastAsia" w:cs="Times New Roman"/>
              </w:rPr>
              <w:t>2</w:t>
            </w:r>
            <w:r>
              <w:rPr>
                <w:rFonts w:cs="Times New Roma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0E1CCB5">
            <w:pPr>
              <w:pStyle w:val="15"/>
              <w:widowControl w:val="0"/>
              <w:rPr>
                <w:rFonts w:cs="Times New Roman"/>
              </w:rPr>
            </w:pPr>
            <w:r>
              <w:rPr>
                <w:rFonts w:hint="eastAsia" w:cs="Times New Roman"/>
              </w:rPr>
              <w:t>2</w:t>
            </w:r>
            <w:r>
              <w:rPr>
                <w:rFonts w:cs="Times New Roma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1772EB2">
            <w:pPr>
              <w:pStyle w:val="15"/>
              <w:widowControl w:val="0"/>
              <w:rPr>
                <w:rFonts w:cs="Times New Roman"/>
              </w:rPr>
            </w:pPr>
          </w:p>
        </w:tc>
        <w:tc>
          <w:tcPr>
            <w:tcW w:w="723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4472EB7">
            <w:pPr>
              <w:pStyle w:val="15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</w:tbl>
    <w:p w14:paraId="667C2EF3">
      <w:pPr>
        <w:pStyle w:val="17"/>
        <w:rPr>
          <w:rFonts w:ascii="黑体" w:hAnsi="宋体"/>
          <w:sz w:val="18"/>
          <w:szCs w:val="16"/>
        </w:rPr>
      </w:pPr>
      <w:bookmarkStart w:id="6" w:name="_GoBack"/>
      <w:bookmarkEnd w:id="6"/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DCAA1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BC20B4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FBC20B4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82DE35"/>
    <w:multiLevelType w:val="singleLevel"/>
    <w:tmpl w:val="9682DE35"/>
    <w:lvl w:ilvl="0" w:tentative="0">
      <w:start w:val="1"/>
      <w:numFmt w:val="decimal"/>
      <w:suff w:val="space"/>
      <w:lvlText w:val="%1."/>
      <w:lvlJc w:val="left"/>
      <w:rPr>
        <w:rFonts w:hint="default"/>
        <w:i w:val="0"/>
        <w:iCs w:val="0"/>
      </w:rPr>
    </w:lvl>
  </w:abstractNum>
  <w:abstractNum w:abstractNumId="1">
    <w:nsid w:val="E1841161"/>
    <w:multiLevelType w:val="singleLevel"/>
    <w:tmpl w:val="E1841161"/>
    <w:lvl w:ilvl="0" w:tentative="0">
      <w:start w:val="1"/>
      <w:numFmt w:val="decimal"/>
      <w:suff w:val="space"/>
      <w:lvlText w:val="%1."/>
      <w:lvlJc w:val="left"/>
      <w:rPr>
        <w:rFonts w:hint="default"/>
        <w:i w:val="0"/>
        <w:iCs w:val="0"/>
      </w:rPr>
    </w:lvl>
  </w:abstractNum>
  <w:abstractNum w:abstractNumId="2">
    <w:nsid w:val="2CDFAB6F"/>
    <w:multiLevelType w:val="singleLevel"/>
    <w:tmpl w:val="2CDFAB6F"/>
    <w:lvl w:ilvl="0" w:tentative="0">
      <w:start w:val="1"/>
      <w:numFmt w:val="decimal"/>
      <w:suff w:val="space"/>
      <w:lvlText w:val="%1."/>
      <w:lvlJc w:val="left"/>
      <w:rPr>
        <w:rFonts w:hint="default"/>
        <w:i w:val="0"/>
        <w:i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ZDUyMGJmZjRlZDIyMDRkNzU0MTBmOTBhZjJkOGUifQ=="/>
  </w:docVars>
  <w:rsids>
    <w:rsidRoot w:val="00B7651F"/>
    <w:rsid w:val="000203E0"/>
    <w:rsid w:val="000210E0"/>
    <w:rsid w:val="00033082"/>
    <w:rsid w:val="00044088"/>
    <w:rsid w:val="00053590"/>
    <w:rsid w:val="00055DEF"/>
    <w:rsid w:val="0006001D"/>
    <w:rsid w:val="00066041"/>
    <w:rsid w:val="00076794"/>
    <w:rsid w:val="0008122A"/>
    <w:rsid w:val="00087488"/>
    <w:rsid w:val="0009050A"/>
    <w:rsid w:val="0009721F"/>
    <w:rsid w:val="000A3FB9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C6ADC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0F77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174E7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1AA3877"/>
    <w:rsid w:val="024B0C39"/>
    <w:rsid w:val="03E268F8"/>
    <w:rsid w:val="04032A25"/>
    <w:rsid w:val="048738DE"/>
    <w:rsid w:val="072A126D"/>
    <w:rsid w:val="0A8128A6"/>
    <w:rsid w:val="0BF32A1B"/>
    <w:rsid w:val="0EAE0E4B"/>
    <w:rsid w:val="0F777FA6"/>
    <w:rsid w:val="10BD2C22"/>
    <w:rsid w:val="10F41BD5"/>
    <w:rsid w:val="11877EF5"/>
    <w:rsid w:val="120F4CE0"/>
    <w:rsid w:val="12B524CD"/>
    <w:rsid w:val="17BC0203"/>
    <w:rsid w:val="1B374F2F"/>
    <w:rsid w:val="1ECD533F"/>
    <w:rsid w:val="22987C80"/>
    <w:rsid w:val="24192CCC"/>
    <w:rsid w:val="2746239A"/>
    <w:rsid w:val="29F34887"/>
    <w:rsid w:val="2C3D68D1"/>
    <w:rsid w:val="2EED66C3"/>
    <w:rsid w:val="31674108"/>
    <w:rsid w:val="34C75FFD"/>
    <w:rsid w:val="353B45DA"/>
    <w:rsid w:val="37AA31FC"/>
    <w:rsid w:val="39917A79"/>
    <w:rsid w:val="39A66CD4"/>
    <w:rsid w:val="39D7755E"/>
    <w:rsid w:val="3AE0022A"/>
    <w:rsid w:val="3CD52CE1"/>
    <w:rsid w:val="3DD11BB1"/>
    <w:rsid w:val="3FB32589"/>
    <w:rsid w:val="410F2E6A"/>
    <w:rsid w:val="42A96C58"/>
    <w:rsid w:val="4319382A"/>
    <w:rsid w:val="43560B8E"/>
    <w:rsid w:val="43623CFD"/>
    <w:rsid w:val="4430136C"/>
    <w:rsid w:val="46921B7B"/>
    <w:rsid w:val="47FD529A"/>
    <w:rsid w:val="4A6022F2"/>
    <w:rsid w:val="4AB0382B"/>
    <w:rsid w:val="4B251A87"/>
    <w:rsid w:val="4B856B5C"/>
    <w:rsid w:val="4C33122E"/>
    <w:rsid w:val="55386906"/>
    <w:rsid w:val="569868B5"/>
    <w:rsid w:val="5B1E3EC8"/>
    <w:rsid w:val="5DE540A2"/>
    <w:rsid w:val="5F34772D"/>
    <w:rsid w:val="5F5E184A"/>
    <w:rsid w:val="611F6817"/>
    <w:rsid w:val="619231FA"/>
    <w:rsid w:val="627B5AC3"/>
    <w:rsid w:val="64EC3C82"/>
    <w:rsid w:val="66AA4206"/>
    <w:rsid w:val="66CA1754"/>
    <w:rsid w:val="66E63104"/>
    <w:rsid w:val="6C711CE5"/>
    <w:rsid w:val="6CD451EE"/>
    <w:rsid w:val="6EAC3D4F"/>
    <w:rsid w:val="6F1E65D4"/>
    <w:rsid w:val="6F266C86"/>
    <w:rsid w:val="6F5042C2"/>
    <w:rsid w:val="706003E1"/>
    <w:rsid w:val="71D64C5D"/>
    <w:rsid w:val="74316312"/>
    <w:rsid w:val="77DE46D3"/>
    <w:rsid w:val="780F13C8"/>
    <w:rsid w:val="786077DD"/>
    <w:rsid w:val="7892269C"/>
    <w:rsid w:val="792828F6"/>
    <w:rsid w:val="7A356300"/>
    <w:rsid w:val="7C385448"/>
    <w:rsid w:val="7C801D2F"/>
    <w:rsid w:val="7CB3663D"/>
    <w:rsid w:val="7D836CC5"/>
    <w:rsid w:val="7DF05160"/>
    <w:rsid w:val="7FA15D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ody Text Indent"/>
    <w:basedOn w:val="1"/>
    <w:autoRedefine/>
    <w:qFormat/>
    <w:uiPriority w:val="0"/>
    <w:pPr>
      <w:snapToGrid w:val="0"/>
      <w:ind w:left="718"/>
    </w:pPr>
    <w:rPr>
      <w:rFonts w:asciiTheme="minorHAnsi" w:hAnsiTheme="minorHAnsi" w:eastAsiaTheme="minorEastAsia" w:cstheme="minorBidi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customStyle="1" w:styleId="12">
    <w:name w:val="页眉 字符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10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0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autoRedefine/>
    <w:qFormat/>
    <w:uiPriority w:val="0"/>
  </w:style>
  <w:style w:type="character" w:styleId="23">
    <w:name w:val="Placeholder Text"/>
    <w:basedOn w:val="10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5289</Words>
  <Characters>6006</Characters>
  <Lines>48</Lines>
  <Paragraphs>13</Paragraphs>
  <TotalTime>0</TotalTime>
  <ScaleCrop>false</ScaleCrop>
  <LinksUpToDate>false</LinksUpToDate>
  <CharactersWithSpaces>6113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奶茶</cp:lastModifiedBy>
  <cp:lastPrinted>2023-11-21T00:52:00Z</cp:lastPrinted>
  <dcterms:modified xsi:type="dcterms:W3CDTF">2024-09-27T06:59:48Z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BE5607F21A3F40309D0219E534180236_12</vt:lpwstr>
  </property>
</Properties>
</file>