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4MohQ9cAAAAI&#10;AQAADwAAAGRycy9kb3ducmV2LnhtbE2PzW6DMBCE75X6DtZG6qVqDE0gQFgitVKrXvPzAAt2ABWv&#10;EXZC8vZ1T+1xdkYz35a7mxnEVU+ut4wQLyMQmhurem4RTsePlwyE88SKBssa4a4d7KrHh5IKZWfe&#10;6+vBtyKUsCsIofN+LKR0TacNuaUdNQfvbCdDPsiplWqiOZSbQb5GUSoN9RwWOhr1e6eb78PFIJy/&#10;5uckn+tPf9rs1+kb9Zva3hGfFnG0BeH1zf+F4Rc/oEMVmGp7YeXEgJCt0pBESJIYRPDXeRYONUKe&#10;r0BWpfz/QPUDUEsDBBQAAAAIAIdO4kBtvXZC/QEAAOkDAAAOAAAAZHJzL2Uyb0RvYy54bWytU9uO&#10;0zAQfUfiHyy/01xou0vUdLV0VYS0LEgLH+A4TmKReMzYbVK+nrHTLRW8IfJgeTzj4znnTDZ309Cz&#10;o0KnwZQ8W6ScKSOh1qYt+bev+ze3nDkvTC16MKrkJ+X43fb1q81oC5VDB32tkBGIccVoS955b4sk&#10;cbJTg3ALsMpQsgEchKcQ26RGMRL60Cd5mq6TEbC2CFI5R6cPc5JvI37TKOk/N41TnvUlp958XDGu&#10;VViT7UYULQrbaXluQ/xDF4PQhh69QD0IL9gB9V9Qg5YIDhq/kDAk0DRaqsiB2GTpH2yeO2FV5ELi&#10;OHuRyf0/WPl0/IJM1+QdZ0YMZFGW5uugy2hdQelnSwV+eg9TqAkcnX0E+d0xA7tOmFbdI8LYKVFT&#10;X1m4mVxdnXFcAKnGT1DTA+LgIQJNDQ4BkGRghE7+nC6eqMkzSYf5+u0qX1FKUi6/Tdc30bREFC+3&#10;LTr/QcHAwqbkSJ5HdHF8dD50I4qXktg99Lre676PAbbVrkd2FDQf+/hFAkTyuqw3odhAuDYjhpNI&#10;MzCbOfqpms6yVVCfiDDCPG/0f9CmA/zJ2UizVnL34yBQcdZ/NCTau2y5DMMZg+XqJqcArzPVdUYY&#10;SVAl95zN252fB/pgUbcdvTTbZOCehG501CA4Mnd17pvmKUpznv0wsNdxrPr9h2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DKIUPXAAAACAEAAA8AAAAAAAAAAQAgAAAAIgAAAGRycy9kb3ducmV2&#10;LnhtbFBLAQIUABQAAAAIAIdO4kBtvXZC/QEAAOkDAAAOAAAAAAAAAAEAIAAAACY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40"/>
          <w:szCs w:val="40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【汉日对比语言研究】</w:t>
      </w:r>
    </w:p>
    <w:p>
      <w:pPr>
        <w:shd w:val="clear" w:color="auto" w:fill="F5F5F5"/>
        <w:ind w:left="840" w:firstLine="420"/>
        <w:jc w:val="center"/>
        <w:textAlignment w:val="top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【A comparation stady of Chineseand Japanes languages】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课程代码：【</w:t>
      </w:r>
      <w:r>
        <w:rPr>
          <w:rFonts w:hint="eastAsia"/>
          <w:b/>
          <w:bCs/>
          <w:sz w:val="20"/>
          <w:szCs w:val="20"/>
        </w:rPr>
        <w:t>1020030</w:t>
      </w:r>
      <w:bookmarkStart w:id="0" w:name="_GoBack"/>
      <w:bookmarkEnd w:id="0"/>
      <w:r>
        <w:rPr>
          <w:rFonts w:hint="eastAsia" w:ascii="宋体" w:hAnsi="宋体" w:cs="宋体"/>
          <w:b/>
          <w:bCs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</w:pPr>
      <w:r>
        <w:rPr>
          <w:rFonts w:hint="eastAsia" w:ascii="宋体" w:hAnsi="宋体" w:cs="宋体"/>
          <w:b/>
          <w:bCs/>
          <w:sz w:val="20"/>
          <w:szCs w:val="20"/>
        </w:rPr>
        <w:t>课程学分：</w:t>
      </w:r>
      <w:r>
        <w:rPr>
          <w:rFonts w:hint="eastAsia" w:ascii="宋体" w:hAnsi="宋体" w:cs="宋体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</w:pPr>
      <w:r>
        <w:rPr>
          <w:rFonts w:hint="eastAsia" w:ascii="宋体" w:hAnsi="宋体" w:cs="宋体"/>
          <w:b/>
          <w:bCs/>
          <w:sz w:val="20"/>
          <w:szCs w:val="20"/>
        </w:rPr>
        <w:t>面向专业：</w:t>
      </w:r>
      <w:r>
        <w:rPr>
          <w:rFonts w:hint="eastAsia" w:ascii="宋体" w:hAnsi="宋体" w:cs="宋体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课程性质：</w:t>
      </w:r>
      <w:r>
        <w:rPr>
          <w:rFonts w:hint="eastAsia" w:ascii="宋体" w:hAnsi="宋体" w:cs="宋体"/>
          <w:sz w:val="20"/>
          <w:szCs w:val="20"/>
        </w:rPr>
        <w:t>【院级选修课】</w:t>
      </w:r>
    </w:p>
    <w:p>
      <w:pPr>
        <w:snapToGrid w:val="0"/>
        <w:spacing w:line="288" w:lineRule="auto"/>
        <w:ind w:firstLine="394" w:firstLineChars="196"/>
        <w:rPr>
          <w:b/>
          <w:bCs/>
        </w:rPr>
      </w:pPr>
      <w:r>
        <w:rPr>
          <w:rFonts w:hint="eastAsia" w:ascii="宋体" w:hAnsi="宋体" w:cs="宋体"/>
          <w:b/>
          <w:bCs/>
          <w:sz w:val="20"/>
          <w:szCs w:val="20"/>
        </w:rPr>
        <w:t>开课院系：</w:t>
      </w:r>
      <w:r>
        <w:rPr>
          <w:rFonts w:hint="eastAsia" w:ascii="宋体" w:hAnsi="宋体" w:cs="宋体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使用教材：</w:t>
      </w:r>
    </w:p>
    <w:p>
      <w:pPr>
        <w:snapToGrid w:val="0"/>
        <w:spacing w:line="288" w:lineRule="auto"/>
        <w:ind w:firstLine="787" w:firstLineChars="392"/>
      </w:pPr>
      <w:r>
        <w:rPr>
          <w:rFonts w:hint="eastAsia" w:ascii="宋体" w:hAnsi="宋体" w:cs="宋体"/>
          <w:b/>
          <w:bCs/>
          <w:sz w:val="20"/>
          <w:szCs w:val="20"/>
        </w:rPr>
        <w:t>教师自编PPT</w:t>
      </w:r>
      <w:r>
        <w:rPr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787" w:firstLineChars="392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参考书目【</w:t>
      </w:r>
      <w:r>
        <w:rPr>
          <w:rFonts w:hint="eastAsia" w:ascii="宋体" w:hAnsi="宋体" w:cs="宋体"/>
          <w:sz w:val="20"/>
          <w:szCs w:val="20"/>
        </w:rPr>
        <w:t>《日语概论》，翟东娜</w:t>
      </w:r>
      <w:r>
        <w:rPr>
          <w:rFonts w:ascii="宋体" w:hAnsi="宋体" w:cs="宋体"/>
          <w:sz w:val="20"/>
          <w:szCs w:val="20"/>
        </w:rPr>
        <w:t>/</w:t>
      </w:r>
      <w:r>
        <w:rPr>
          <w:rFonts w:hint="eastAsia" w:ascii="宋体" w:hAnsi="宋体" w:cs="宋体"/>
          <w:sz w:val="20"/>
          <w:szCs w:val="20"/>
        </w:rPr>
        <w:t>潘钧，外语教学与研究出版社，</w:t>
      </w:r>
      <w:r>
        <w:rPr>
          <w:rFonts w:ascii="宋体" w:hAnsi="宋体" w:cs="宋体"/>
          <w:sz w:val="20"/>
          <w:szCs w:val="20"/>
        </w:rPr>
        <w:t>2008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《日语语言百题》，彭广陆，北京大学出版社，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《日本语》，金田一春彦著、皮细庚译，华东理工大学出版社，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highlight w:val="yellow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《日语词汇教程》，朱京伟，外语教学与研究出版社，</w:t>
      </w:r>
      <w:r>
        <w:rPr>
          <w:rFonts w:ascii="宋体" w:hAnsi="宋体" w:cs="宋体"/>
          <w:sz w:val="20"/>
          <w:szCs w:val="20"/>
        </w:rPr>
        <w:t>2005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sz w:val="20"/>
          <w:szCs w:val="20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课程网站网址：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先修课程：【</w:t>
      </w:r>
      <w:r>
        <w:rPr>
          <w:rFonts w:hint="eastAsia"/>
          <w:color w:val="000000"/>
          <w:sz w:val="20"/>
          <w:szCs w:val="20"/>
        </w:rPr>
        <w:t>基础日语</w:t>
      </w:r>
      <w:r>
        <w:rPr>
          <w:rFonts w:hint="eastAsia"/>
          <w:color w:val="000000"/>
          <w:sz w:val="20"/>
          <w:szCs w:val="20"/>
          <w:lang w:eastAsia="zh-CN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5</w:t>
      </w:r>
      <w:r>
        <w:rPr>
          <w:rFonts w:hint="eastAsia"/>
          <w:color w:val="000000"/>
          <w:sz w:val="20"/>
          <w:szCs w:val="20"/>
          <w:lang w:eastAsia="zh-CN"/>
        </w:rPr>
        <w:t>）</w:t>
      </w:r>
      <w:r>
        <w:rPr>
          <w:color w:val="000000"/>
          <w:sz w:val="20"/>
          <w:szCs w:val="20"/>
        </w:rPr>
        <w:t>2020056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6</w:t>
      </w:r>
      <w:r>
        <w:rPr>
          <w:rFonts w:hint="eastAsia"/>
          <w:color w:val="000000"/>
          <w:sz w:val="20"/>
          <w:szCs w:val="20"/>
        </w:rPr>
        <w:t>）、日语语法</w:t>
      </w:r>
      <w:r>
        <w:rPr>
          <w:color w:val="000000"/>
          <w:sz w:val="20"/>
          <w:szCs w:val="20"/>
        </w:rPr>
        <w:t>2020090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 w:ascii="宋体" w:hAnsi="宋体" w:cs="宋体"/>
          <w:sz w:val="20"/>
          <w:szCs w:val="20"/>
        </w:rPr>
        <w:t>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汉日对比语言研究作为日语专业选修课之一。本课程分成几个问题点，对各个问题点从汉日对比的角度进行分析。各个部分有若干节组成，内容充实知识点丰富。各部分不仅配有知识点解说，而且都有相应练习题，能加深理解所学内容。其中，第一部分为语言一般专业知识解说，之后为语言主要内容的语法知识解说。本次自编的内容涉及词汇面广，涵盖了日语语言学的基本内容。作为日语本科生选修教材使用时，必须在充分理解的基础上，强调提高记忆与运用的重要性。作为本课程教学的基本目标，是通过汉日对比的教学讲授，并结合第二课堂的预习与复习，要求学生通过本课程的学习考核，大致掌握日语语言学的基础知识，能够从汉日对比的角度分析日语问题，加深了解一些较难的专业知识，并且能够利用所学的语言学知识，参与造句改错逐步形成自己见解，提高日语的综合理解运用能力，为进一步学习高级日语语言知识，为顺利通过各类日语等级考试，为写好毕业论文等起到促进作用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适合日语本科专业学生开设。学生学完基础日语综合课程，具有初级基础语法词汇知识。由于本课程主要讲授综合语言学知识以及汉语的相关语法问题，因此建议学生针对相关知识点，阅读相关课外专业文献加深理解，要求加大第二课堂的投入力度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四、课程与专业毕业要求的关联性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透彻分析日语语素、词汇结构以及语义句法功能，能对日语词汇学具有基本了解，并能举例进行分析归纳与总结。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LO41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LO51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</w:pPr>
      <w:r>
        <w:rPr>
          <w:rFonts w:hint="eastAsia" w:cs="宋体"/>
        </w:rPr>
        <w:t>备注：</w:t>
      </w:r>
      <w:r>
        <w:t>LO=learning outcomes</w:t>
      </w:r>
      <w:r>
        <w:rPr>
          <w:rFonts w:hint="eastAsia" w:cs="宋体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</w:t>
      </w:r>
    </w:p>
    <w:tbl>
      <w:tblPr>
        <w:tblStyle w:val="5"/>
        <w:tblW w:w="76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35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tcBorders>
              <w:left w:val="nil"/>
            </w:tcBorders>
          </w:tcPr>
          <w:p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重要知识点要求熟记、背诵相关句型、熟读课文日语说明、完成课后练习。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课堂表现并回答提问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L0321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了解日语概说的一般知识，以及语言学研究的发展与现状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。</w:t>
            </w:r>
          </w:p>
        </w:tc>
        <w:tc>
          <w:tcPr>
            <w:tcW w:w="2160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辨别词类与词义的差异变化，学会从语义搭配方面进行分析。并结合课文练习加深理解。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详细解说词汇学的重要知识点，结合日常用例加深理解与记忆。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课堂检查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口头作业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L0322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掌握基本词汇学的要点，能够避免出错与促进正确理解使用。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根据教材中各章节内容，形成语言学单元的框架结构。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结合等级考试试题进行能力验证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</w:p>
        </w:tc>
        <w:tc>
          <w:tcPr>
            <w:tcW w:w="2551" w:type="dxa"/>
            <w:tcBorders>
              <w:left w:val="nil"/>
            </w:tcBorders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鼓励学生懂得感恩，具备助人为乐的品质。</w:t>
            </w:r>
          </w:p>
        </w:tc>
        <w:tc>
          <w:tcPr>
            <w:tcW w:w="2160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分小组完成学习任务，鼓励学生互相帮助。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口头发表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 w:cs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本学期主要内容有：词汇、时态和体、被动和使役、可能和语气。每周</w:t>
      </w:r>
      <w:r>
        <w:rPr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个学时，总共</w:t>
      </w:r>
      <w:r>
        <w:rPr>
          <w:sz w:val="20"/>
          <w:szCs w:val="20"/>
        </w:rPr>
        <w:t>16</w:t>
      </w:r>
      <w:r>
        <w:rPr>
          <w:rFonts w:hint="eastAsia" w:ascii="宋体" w:hAnsi="宋体" w:cs="宋体"/>
          <w:sz w:val="20"/>
          <w:szCs w:val="20"/>
        </w:rPr>
        <w:t>周</w:t>
      </w:r>
      <w:r>
        <w:rPr>
          <w:sz w:val="20"/>
          <w:szCs w:val="20"/>
        </w:rPr>
        <w:t>32</w:t>
      </w:r>
      <w:r>
        <w:rPr>
          <w:rFonts w:hint="eastAsia" w:ascii="宋体" w:hAnsi="宋体" w:cs="宋体"/>
          <w:sz w:val="20"/>
          <w:szCs w:val="20"/>
        </w:rPr>
        <w:t>学时。根据内容重点，采用灵活课时调整展开授课。即考虑到每个部分的不平衡，根据内容篇幅分配课时。学生课内实践环节约为</w:t>
      </w:r>
      <w:r>
        <w:rPr>
          <w:rFonts w:ascii="宋体" w:hAnsi="宋体" w:cs="宋体"/>
          <w:sz w:val="20"/>
          <w:szCs w:val="20"/>
        </w:rPr>
        <w:t>8</w:t>
      </w:r>
      <w:r>
        <w:rPr>
          <w:rFonts w:hint="eastAsia" w:ascii="宋体" w:hAnsi="宋体" w:cs="宋体"/>
          <w:sz w:val="20"/>
          <w:szCs w:val="20"/>
        </w:rPr>
        <w:t>学时；课外练习、阅读文献及作业等时间不计在内。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tbl>
      <w:tblPr>
        <w:tblStyle w:val="5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325"/>
        <w:gridCol w:w="384"/>
        <w:gridCol w:w="992"/>
        <w:gridCol w:w="2126"/>
        <w:gridCol w:w="4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hint="eastAsia" w:cs="宋体"/>
                <w:sz w:val="20"/>
                <w:szCs w:val="20"/>
              </w:rPr>
              <w:t>日语语言学的研究领，日语单词的关系，汉日词汇意义的不同语对日语学习的影响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·了解词汇的意义范围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·了解汉语和日语词汇意义范围的差异和误用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·了解文字用法的不同</w:t>
            </w: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·日语中的汉字发展变化尤其要关注和语同汉语词汇的差异。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·分析汉日词汇误用的原因。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cs="宋体"/>
                <w:sz w:val="20"/>
                <w:szCs w:val="20"/>
              </w:rPr>
              <w:t>日语词汇具有数量多结构复杂的特点。分类如“基本词汇与基础词汇”。也有词源词类语法方面的分类，多方面构成了庞大的词汇系统。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·了解罗马字的形成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·了解词汇与单词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·了解日语词汇与词汇体系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·了解单词的构造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·日语词汇具有系统性，需要通过例子比较学习，并结合具体例子加深理解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·日语词汇分类标准不同，学习中需要理解各自特点，尤其要关注词汇的各种差异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·从词汇系统角度，观察复合词的结构类型、语音同词汇的关系。需要通过例子比较学习，并结合说明加深理解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/>
                <w:color w:val="FF0000"/>
              </w:rPr>
            </w:pPr>
            <w:r>
              <w:rPr>
                <w:rFonts w:hint="eastAsia" w:cs="宋体"/>
                <w:sz w:val="20"/>
                <w:szCs w:val="20"/>
              </w:rPr>
              <w:t>日语时态和体的表达形式和意义。汉语时态和体与日语的不同。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·了解日语时态和体的意义以及体系。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·了解汉语和日语时态和体的不同点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·了解汉语和日语时态和体的不同点。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·汉语和日语的时态和体具有不对称性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日语被动和使役态的意义和形式。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  <w:color w:val="FF0000"/>
              </w:rPr>
            </w:pPr>
            <w:r>
              <w:rPr>
                <w:rFonts w:hint="eastAsia" w:ascii="宋体" w:hAnsi="宋体" w:cs="宋体"/>
              </w:rPr>
              <w:t>汉语被动和使役态与日语的不同。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·了解被动使役的形式和意义。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·了解汉语和日语被动和使役态的不同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cs="宋体"/>
                <w:sz w:val="20"/>
                <w:szCs w:val="20"/>
              </w:rPr>
              <w:t>要求了解汉语的被动和使役态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·要求了解日语的被动和使役态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</w:p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·汉语和日语的被动和使役态用法的不同。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ind w:firstLine="105" w:firstLineChars="50"/>
              <w:rPr>
                <w:rFonts w:ascii="MS Mincho" w:hAnsi="MS Mincho" w:cs="宋体"/>
              </w:rPr>
            </w:pPr>
            <w:r>
              <w:rPr>
                <w:rFonts w:hint="eastAsia" w:ascii="MS Mincho" w:hAnsi="MS Mincho" w:cs="宋体"/>
              </w:rPr>
              <w:t>日语的可能态以及语气词。</w:t>
            </w:r>
          </w:p>
          <w:p>
            <w:pPr>
              <w:snapToGrid w:val="0"/>
              <w:spacing w:line="288" w:lineRule="auto"/>
              <w:ind w:firstLine="105" w:firstLineChars="50"/>
              <w:rPr>
                <w:rFonts w:hint="eastAsia" w:ascii="宋体"/>
              </w:rPr>
            </w:pPr>
            <w:r>
              <w:rPr>
                <w:rFonts w:hint="eastAsia" w:ascii="MS Mincho" w:hAnsi="MS Mincho" w:cs="宋体"/>
              </w:rPr>
              <w:t>汉语的可能态和语气词与日语的不同点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ind w:firstLine="105" w:firstLineChars="50"/>
              <w:rPr>
                <w:rFonts w:ascii="MS Mincho" w:hAnsi="MS Mincho" w:cs="宋体"/>
              </w:rPr>
            </w:pPr>
            <w:r>
              <w:rPr>
                <w:rFonts w:hint="eastAsia" w:ascii="宋体" w:hAnsi="宋体" w:cs="宋体"/>
              </w:rPr>
              <w:t>·了解</w:t>
            </w:r>
            <w:r>
              <w:rPr>
                <w:rFonts w:hint="eastAsia" w:ascii="MS Mincho" w:hAnsi="MS Mincho" w:cs="宋体"/>
              </w:rPr>
              <w:t>日语的可能态以及语气词。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</w:t>
            </w:r>
            <w:r>
              <w:rPr>
                <w:rFonts w:hint="eastAsia" w:ascii="MS Mincho" w:hAnsi="MS Mincho" w:cs="宋体"/>
              </w:rPr>
              <w:t>汉语的可能态和语气词与日语的不同点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ind w:firstLine="105" w:firstLineChars="50"/>
              <w:rPr>
                <w:rFonts w:ascii="MS Mincho" w:hAnsi="MS Mincho" w:cs="宋体"/>
              </w:rPr>
            </w:pPr>
            <w:r>
              <w:rPr>
                <w:rFonts w:hint="eastAsia" w:ascii="宋体" w:hAnsi="宋体" w:cs="宋体"/>
              </w:rPr>
              <w:t>·了解</w:t>
            </w:r>
            <w:r>
              <w:rPr>
                <w:rFonts w:hint="eastAsia" w:ascii="MS Mincho" w:hAnsi="MS Mincho" w:cs="宋体"/>
              </w:rPr>
              <w:t>日语的可能态以及语气词。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</w:t>
            </w:r>
            <w:r>
              <w:rPr>
                <w:rFonts w:hint="eastAsia" w:ascii="MS Mincho" w:hAnsi="MS Mincho" w:cs="宋体"/>
              </w:rPr>
              <w:t>汉语的可能态和语气词与日语的不同点</w:t>
            </w:r>
          </w:p>
          <w:p>
            <w:pPr>
              <w:snapToGrid w:val="0"/>
              <w:spacing w:line="288" w:lineRule="auto"/>
              <w:rPr>
                <w:rFonts w:hint="eastAsia" w:ascii="MingLiU"/>
                <w:sz w:val="20"/>
                <w:szCs w:val="20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</w:p>
          <w:p>
            <w:pPr>
              <w:snapToGrid w:val="0"/>
              <w:spacing w:line="288" w:lineRule="auto"/>
              <w:ind w:firstLine="105" w:firstLineChars="50"/>
              <w:rPr>
                <w:rFonts w:hint="eastAsia" w:ascii="MS Mincho" w:hAnsi="MS Mincho" w:cs="宋体"/>
              </w:rPr>
            </w:pPr>
            <w:r>
              <w:rPr>
                <w:rFonts w:hint="eastAsia" w:ascii="MS Mincho" w:hAnsi="MS Mincho" w:cs="宋体"/>
              </w:rPr>
              <w:t>汉语的可能态和语气词与日语的不同点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日语词汇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结合常用例子加深理解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日语时态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日语被动使役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日语可能语气词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结合常用例子加深理解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八、评价方式与成绩</w:t>
      </w:r>
    </w:p>
    <w:tbl>
      <w:tblPr>
        <w:tblStyle w:val="5"/>
        <w:tblW w:w="87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闭卷考试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小测试、综合练习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小测试、随堂测验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X3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小测试、大作业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  <w:szCs w:val="24"/>
        </w:rPr>
      </w:pPr>
    </w:p>
    <w:p>
      <w:pPr>
        <w:snapToGrid w:val="0"/>
        <w:spacing w:line="288" w:lineRule="auto"/>
        <w:ind w:left="-200" w:leftChars="0" w:firstLine="0" w:firstLineChars="0"/>
      </w:pPr>
      <w:r>
        <w:rPr>
          <w:rFonts w:hint="eastAsia" w:ascii="宋体" w:hAnsi="宋体" w:cs="宋体"/>
          <w:sz w:val="28"/>
          <w:szCs w:val="28"/>
        </w:rPr>
        <w:t>撰写人：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94690" cy="254000"/>
            <wp:effectExtent l="0" t="0" r="3810" b="0"/>
            <wp:docPr id="2" name="图片 2" descr="黄春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黄春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37870" cy="267335"/>
            <wp:effectExtent l="0" t="0" r="11430" b="12065"/>
            <wp:docPr id="3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刘尔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2022.9.24</w:t>
      </w:r>
    </w:p>
    <w:p>
      <w:pPr>
        <w:snapToGrid w:val="0"/>
        <w:spacing w:line="288" w:lineRule="auto"/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9B"/>
    <w:rsid w:val="00017F09"/>
    <w:rsid w:val="0004084C"/>
    <w:rsid w:val="00060F91"/>
    <w:rsid w:val="0007280E"/>
    <w:rsid w:val="000B542B"/>
    <w:rsid w:val="000C498B"/>
    <w:rsid w:val="000E2448"/>
    <w:rsid w:val="000E2528"/>
    <w:rsid w:val="000E46CA"/>
    <w:rsid w:val="001040C4"/>
    <w:rsid w:val="0012253B"/>
    <w:rsid w:val="00132535"/>
    <w:rsid w:val="0014527C"/>
    <w:rsid w:val="00156E98"/>
    <w:rsid w:val="001A752C"/>
    <w:rsid w:val="001B0E03"/>
    <w:rsid w:val="002163A4"/>
    <w:rsid w:val="00227CB5"/>
    <w:rsid w:val="00234EF2"/>
    <w:rsid w:val="00243CEA"/>
    <w:rsid w:val="00246B89"/>
    <w:rsid w:val="002710D8"/>
    <w:rsid w:val="00281361"/>
    <w:rsid w:val="0029529A"/>
    <w:rsid w:val="002A5C2F"/>
    <w:rsid w:val="002E1B96"/>
    <w:rsid w:val="002F1AD6"/>
    <w:rsid w:val="003077A2"/>
    <w:rsid w:val="00317605"/>
    <w:rsid w:val="00325EAD"/>
    <w:rsid w:val="00330C77"/>
    <w:rsid w:val="003463C3"/>
    <w:rsid w:val="0035492F"/>
    <w:rsid w:val="003627A8"/>
    <w:rsid w:val="0036363C"/>
    <w:rsid w:val="00373DEB"/>
    <w:rsid w:val="003920CA"/>
    <w:rsid w:val="003B28C9"/>
    <w:rsid w:val="003B4800"/>
    <w:rsid w:val="003F31A0"/>
    <w:rsid w:val="003F64C3"/>
    <w:rsid w:val="00480CC2"/>
    <w:rsid w:val="00491526"/>
    <w:rsid w:val="00497021"/>
    <w:rsid w:val="004A0629"/>
    <w:rsid w:val="004D6A96"/>
    <w:rsid w:val="004E3DB9"/>
    <w:rsid w:val="004F62CE"/>
    <w:rsid w:val="005064A1"/>
    <w:rsid w:val="00510BC4"/>
    <w:rsid w:val="00530418"/>
    <w:rsid w:val="005868FF"/>
    <w:rsid w:val="005B3328"/>
    <w:rsid w:val="005C45D2"/>
    <w:rsid w:val="005D2F83"/>
    <w:rsid w:val="005F0F33"/>
    <w:rsid w:val="005F2D48"/>
    <w:rsid w:val="00615A20"/>
    <w:rsid w:val="0064181F"/>
    <w:rsid w:val="00671854"/>
    <w:rsid w:val="006751CA"/>
    <w:rsid w:val="00677214"/>
    <w:rsid w:val="006A32C1"/>
    <w:rsid w:val="006B2EB2"/>
    <w:rsid w:val="006C3ACF"/>
    <w:rsid w:val="006C5C8A"/>
    <w:rsid w:val="006C5CC9"/>
    <w:rsid w:val="006E0D18"/>
    <w:rsid w:val="006F2B4B"/>
    <w:rsid w:val="006F3474"/>
    <w:rsid w:val="00707B94"/>
    <w:rsid w:val="0072176E"/>
    <w:rsid w:val="00731306"/>
    <w:rsid w:val="00732FB9"/>
    <w:rsid w:val="00733342"/>
    <w:rsid w:val="0076195E"/>
    <w:rsid w:val="0077118E"/>
    <w:rsid w:val="007724DA"/>
    <w:rsid w:val="0079448F"/>
    <w:rsid w:val="007B6321"/>
    <w:rsid w:val="007D2BA7"/>
    <w:rsid w:val="007D729F"/>
    <w:rsid w:val="00837949"/>
    <w:rsid w:val="008535B0"/>
    <w:rsid w:val="00860B29"/>
    <w:rsid w:val="0088704D"/>
    <w:rsid w:val="00887EBF"/>
    <w:rsid w:val="0089163F"/>
    <w:rsid w:val="008B3E31"/>
    <w:rsid w:val="008B7BB7"/>
    <w:rsid w:val="008C3A2F"/>
    <w:rsid w:val="008F1F97"/>
    <w:rsid w:val="008F55D8"/>
    <w:rsid w:val="00903249"/>
    <w:rsid w:val="00907FF2"/>
    <w:rsid w:val="00923002"/>
    <w:rsid w:val="009630B7"/>
    <w:rsid w:val="00977FC0"/>
    <w:rsid w:val="00984ECB"/>
    <w:rsid w:val="00995E9B"/>
    <w:rsid w:val="009E3B76"/>
    <w:rsid w:val="009E4576"/>
    <w:rsid w:val="009F38DD"/>
    <w:rsid w:val="00A0402D"/>
    <w:rsid w:val="00A07FEE"/>
    <w:rsid w:val="00A12DE6"/>
    <w:rsid w:val="00A154BC"/>
    <w:rsid w:val="00A44585"/>
    <w:rsid w:val="00A47C8B"/>
    <w:rsid w:val="00A6227B"/>
    <w:rsid w:val="00A64A52"/>
    <w:rsid w:val="00A748EC"/>
    <w:rsid w:val="00AA383E"/>
    <w:rsid w:val="00AD466F"/>
    <w:rsid w:val="00AF0F43"/>
    <w:rsid w:val="00AF3A44"/>
    <w:rsid w:val="00B16F2E"/>
    <w:rsid w:val="00B217F8"/>
    <w:rsid w:val="00B33EB2"/>
    <w:rsid w:val="00B41AA6"/>
    <w:rsid w:val="00B861D5"/>
    <w:rsid w:val="00BC226E"/>
    <w:rsid w:val="00BC74C9"/>
    <w:rsid w:val="00BE1BAD"/>
    <w:rsid w:val="00BE5B81"/>
    <w:rsid w:val="00BF32E5"/>
    <w:rsid w:val="00C3326C"/>
    <w:rsid w:val="00C53197"/>
    <w:rsid w:val="00C80E08"/>
    <w:rsid w:val="00C8778F"/>
    <w:rsid w:val="00CA044B"/>
    <w:rsid w:val="00CB2BD0"/>
    <w:rsid w:val="00CC75EC"/>
    <w:rsid w:val="00CE73C4"/>
    <w:rsid w:val="00D0003F"/>
    <w:rsid w:val="00D00343"/>
    <w:rsid w:val="00D04FD6"/>
    <w:rsid w:val="00D2204B"/>
    <w:rsid w:val="00D23CF5"/>
    <w:rsid w:val="00D242D2"/>
    <w:rsid w:val="00D408D0"/>
    <w:rsid w:val="00D50F89"/>
    <w:rsid w:val="00D63755"/>
    <w:rsid w:val="00D87FA7"/>
    <w:rsid w:val="00DE4820"/>
    <w:rsid w:val="00DF4985"/>
    <w:rsid w:val="00E019BA"/>
    <w:rsid w:val="00E24FE8"/>
    <w:rsid w:val="00E3747A"/>
    <w:rsid w:val="00E57E2E"/>
    <w:rsid w:val="00E60B20"/>
    <w:rsid w:val="00E725A3"/>
    <w:rsid w:val="00E90E0C"/>
    <w:rsid w:val="00EC5F0B"/>
    <w:rsid w:val="00EE79BC"/>
    <w:rsid w:val="00EE7E83"/>
    <w:rsid w:val="00EF2CE0"/>
    <w:rsid w:val="00EF73B9"/>
    <w:rsid w:val="00F23BFB"/>
    <w:rsid w:val="00F24334"/>
    <w:rsid w:val="00F46971"/>
    <w:rsid w:val="00F67364"/>
    <w:rsid w:val="00F73FF2"/>
    <w:rsid w:val="00F83389"/>
    <w:rsid w:val="00FC65F4"/>
    <w:rsid w:val="00FD5544"/>
    <w:rsid w:val="00FD5E6A"/>
    <w:rsid w:val="16751F75"/>
    <w:rsid w:val="2D611FF7"/>
    <w:rsid w:val="4CBE510F"/>
    <w:rsid w:val="5BB30133"/>
    <w:rsid w:val="74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文字 字符"/>
    <w:basedOn w:val="7"/>
    <w:link w:val="2"/>
    <w:qFormat/>
    <w:locked/>
    <w:uiPriority w:val="99"/>
    <w:rPr>
      <w:kern w:val="2"/>
      <w:sz w:val="22"/>
      <w:szCs w:val="22"/>
    </w:rPr>
  </w:style>
  <w:style w:type="character" w:customStyle="1" w:styleId="9">
    <w:name w:val="页脚 字符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609</Words>
  <Characters>3475</Characters>
  <Lines>28</Lines>
  <Paragraphs>8</Paragraphs>
  <TotalTime>0</TotalTime>
  <ScaleCrop>false</ScaleCrop>
  <LinksUpToDate>false</LinksUpToDate>
  <CharactersWithSpaces>4076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2022-09-23T00:38:00Z</dcterms:created>
  <dc:creator>juvg</dc:creator>
  <cp:lastModifiedBy>刘尔瑟</cp:lastModifiedBy>
  <dcterms:modified xsi:type="dcterms:W3CDTF">2022-09-24T12:29:44Z</dcterms:modified>
  <dc:title>【日语词汇学】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