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cs="Times New Roman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yiFD1wAAAAgBAAAPAAAAAAAAAAEAIAAAACIAAABkcnMvZG93bnJldi54bWxQSwECFAAU&#10;AAAACACHTuJAv5b81isCAAA+BAAADgAAAAAAAAABACAAAAAmAQAAZHJzL2Uyb0RvYy54bWxQSwUG&#10;AAAAAAYABgBZAQAAw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 w:cs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 w:cs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/>
          <w:b/>
          <w:bCs/>
          <w:sz w:val="28"/>
          <w:szCs w:val="28"/>
          <w:lang w:eastAsia="zh-CN"/>
        </w:rPr>
        <w:t>【</w:t>
      </w:r>
      <w:r>
        <w:rPr>
          <w:rFonts w:hint="eastAsia" w:cs="宋体"/>
          <w:b/>
          <w:bCs/>
          <w:sz w:val="28"/>
          <w:szCs w:val="28"/>
        </w:rPr>
        <w:t>外贸日语函电</w:t>
      </w:r>
      <w:r>
        <w:rPr>
          <w:rFonts w:hint="eastAsia" w:cs="宋体"/>
          <w:b/>
          <w:bCs/>
          <w:sz w:val="28"/>
          <w:szCs w:val="28"/>
          <w:lang w:eastAsia="zh-CN"/>
        </w:rPr>
        <w:t>】</w:t>
      </w:r>
    </w:p>
    <w:p>
      <w:pPr>
        <w:spacing w:before="156" w:beforeLines="50" w:after="156" w:afterLines="50" w:line="288" w:lineRule="auto"/>
        <w:ind w:firstLine="422" w:firstLineChars="1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b/>
          <w:bCs/>
          <w:sz w:val="28"/>
          <w:szCs w:val="28"/>
        </w:rPr>
        <w:t>Japanese Trade Telegram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sz w:val="20"/>
          <w:szCs w:val="20"/>
        </w:rPr>
        <w:t>2020103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sz w:val="20"/>
          <w:szCs w:val="20"/>
        </w:rPr>
        <w:t>2</w:t>
      </w:r>
    </w:p>
    <w:p>
      <w:pPr>
        <w:snapToGrid w:val="0"/>
        <w:spacing w:line="288" w:lineRule="auto"/>
        <w:ind w:firstLine="394" w:firstLineChars="196"/>
        <w:rPr>
          <w:rFonts w:cs="Times New Roman"/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rFonts w:hint="eastAsia" w:cs="宋体"/>
          <w:sz w:val="20"/>
          <w:szCs w:val="20"/>
        </w:rPr>
        <w:t>日语专业本科</w:t>
      </w:r>
    </w:p>
    <w:p>
      <w:pPr>
        <w:snapToGrid w:val="0"/>
        <w:spacing w:line="288" w:lineRule="auto"/>
        <w:ind w:firstLine="394" w:firstLineChars="196"/>
        <w:rPr>
          <w:rFonts w:cs="Times New Roman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rFonts w:hint="eastAsia" w:cs="宋体"/>
          <w:sz w:val="20"/>
          <w:szCs w:val="20"/>
        </w:rPr>
        <w:t>系</w:t>
      </w:r>
      <w:r>
        <w:rPr>
          <w:rFonts w:hint="eastAsia" w:cs="宋体"/>
          <w:color w:val="000000"/>
          <w:sz w:val="20"/>
          <w:szCs w:val="20"/>
        </w:rPr>
        <w:t>定课程专业选修课</w:t>
      </w:r>
    </w:p>
    <w:p>
      <w:pPr>
        <w:adjustRightInd w:val="0"/>
        <w:snapToGrid w:val="0"/>
        <w:spacing w:line="300" w:lineRule="auto"/>
        <w:ind w:firstLine="394" w:firstLineChars="196"/>
        <w:rPr>
          <w:rFonts w:cs="Times New Roman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课程类型</w:t>
      </w:r>
      <w:r>
        <w:rPr>
          <w:rFonts w:hint="eastAsia" w:cs="宋体"/>
          <w:sz w:val="20"/>
          <w:szCs w:val="20"/>
        </w:rPr>
        <w:t>：理论教学课</w:t>
      </w:r>
    </w:p>
    <w:p>
      <w:pPr>
        <w:snapToGrid w:val="0"/>
        <w:spacing w:line="288" w:lineRule="auto"/>
        <w:ind w:firstLine="394" w:firstLineChars="196"/>
        <w:rPr>
          <w:rFonts w:cs="Times New Roman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开课院系：</w:t>
      </w:r>
      <w:r>
        <w:rPr>
          <w:rFonts w:hint="eastAsia" w:cs="宋体"/>
          <w:sz w:val="20"/>
          <w:szCs w:val="20"/>
        </w:rPr>
        <w:t>外国语学院</w:t>
      </w:r>
    </w:p>
    <w:p>
      <w:pPr>
        <w:snapToGrid w:val="0"/>
        <w:spacing w:line="288" w:lineRule="auto"/>
        <w:ind w:left="1437" w:leftChars="187" w:hanging="1044" w:hangingChars="520"/>
        <w:rPr>
          <w:rFonts w:cs="Times New Roman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使用教材：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主教材：《</w:t>
      </w:r>
      <w:r>
        <w:rPr>
          <w:rFonts w:hint="eastAsia" w:ascii="宋体" w:hAnsi="宋体" w:cs="宋体"/>
          <w:color w:val="000000"/>
          <w:sz w:val="20"/>
          <w:szCs w:val="20"/>
        </w:rPr>
        <w:t>新编国际商务日语写作</w:t>
      </w:r>
      <w:r>
        <w:rPr>
          <w:rFonts w:hint="eastAsia" w:ascii="宋体" w:hAnsi="宋体" w:cs="宋体"/>
          <w:kern w:val="0"/>
          <w:sz w:val="20"/>
          <w:szCs w:val="20"/>
        </w:rPr>
        <w:t>》，刘肖云、龚辰编著；南开大学出版社，</w:t>
      </w:r>
      <w:r>
        <w:rPr>
          <w:rFonts w:ascii="宋体" w:hAnsi="宋体" w:cs="宋体"/>
          <w:kern w:val="0"/>
          <w:sz w:val="20"/>
          <w:szCs w:val="20"/>
        </w:rPr>
        <w:t xml:space="preserve">2015.4  </w:t>
      </w:r>
      <w:r>
        <w:rPr>
          <w:rFonts w:hint="eastAsia" w:cs="宋体"/>
          <w:sz w:val="20"/>
          <w:szCs w:val="20"/>
        </w:rPr>
        <w:t>辅助教材：《日语外贸函电》，陈世华、任犹龙主编；天津大</w:t>
      </w:r>
      <w:r>
        <w:rPr>
          <w:rFonts w:hint="eastAsia" w:ascii="宋体" w:hAnsi="宋体" w:cs="宋体"/>
          <w:sz w:val="20"/>
          <w:szCs w:val="20"/>
        </w:rPr>
        <w:t>学出版社，</w:t>
      </w:r>
      <w:r>
        <w:rPr>
          <w:rFonts w:ascii="宋体" w:hAnsi="宋体" w:cs="宋体"/>
          <w:sz w:val="20"/>
          <w:szCs w:val="20"/>
        </w:rPr>
        <w:t>2010.1</w:t>
      </w:r>
    </w:p>
    <w:p>
      <w:pPr>
        <w:snapToGrid w:val="0"/>
        <w:spacing w:line="288" w:lineRule="auto"/>
        <w:ind w:firstLine="1440" w:firstLineChars="720"/>
        <w:rPr>
          <w:rFonts w:ascii="宋体" w:cs="Times New Roman"/>
          <w:sz w:val="20"/>
          <w:szCs w:val="20"/>
        </w:rPr>
      </w:pPr>
      <w:r>
        <w:rPr>
          <w:rFonts w:hint="eastAsia" w:cs="宋体"/>
          <w:sz w:val="20"/>
          <w:szCs w:val="20"/>
        </w:rPr>
        <w:t>参考教材：《</w:t>
      </w:r>
      <w:r>
        <w:rPr>
          <w:rFonts w:hint="eastAsia" w:ascii="宋体" w:hAnsi="宋体" w:cs="宋体"/>
          <w:sz w:val="20"/>
          <w:szCs w:val="20"/>
        </w:rPr>
        <w:t>外贸日语函电》，刘金举主编；北京语言大学出版社，</w:t>
      </w:r>
      <w:r>
        <w:rPr>
          <w:rFonts w:ascii="宋体" w:hAnsi="宋体" w:cs="宋体"/>
          <w:sz w:val="20"/>
          <w:szCs w:val="20"/>
        </w:rPr>
        <w:t>2007.3</w:t>
      </w:r>
    </w:p>
    <w:p>
      <w:pPr>
        <w:snapToGrid w:val="0"/>
        <w:spacing w:line="288" w:lineRule="auto"/>
        <w:ind w:left="1416" w:leftChars="196" w:hanging="1004" w:hangingChars="500"/>
        <w:rPr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rFonts w:hint="eastAsia" w:cs="宋体"/>
          <w:sz w:val="20"/>
          <w:szCs w:val="20"/>
        </w:rPr>
        <w:t>《基础日语》（</w:t>
      </w:r>
      <w:r>
        <w:rPr>
          <w:sz w:val="20"/>
          <w:szCs w:val="20"/>
        </w:rPr>
        <w:t>5</w:t>
      </w:r>
      <w:r>
        <w:rPr>
          <w:rFonts w:hint="eastAsia" w:cs="宋体"/>
          <w:sz w:val="20"/>
          <w:szCs w:val="20"/>
        </w:rPr>
        <w:t>）</w:t>
      </w:r>
      <w:r>
        <w:rPr>
          <w:sz w:val="20"/>
          <w:szCs w:val="20"/>
        </w:rPr>
        <w:t>2020056(8)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cs="Times New Roman"/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</w:t>
      </w:r>
    </w:p>
    <w:p>
      <w:pPr>
        <w:widowControl/>
        <w:ind w:firstLine="300" w:firstLineChars="150"/>
        <w:jc w:val="left"/>
        <w:rPr>
          <w:rFonts w:cs="Times New Roman"/>
          <w:sz w:val="20"/>
          <w:szCs w:val="20"/>
        </w:rPr>
      </w:pPr>
      <w:r>
        <w:rPr>
          <w:rFonts w:hint="eastAsia" w:cs="宋体"/>
          <w:sz w:val="20"/>
          <w:szCs w:val="20"/>
        </w:rPr>
        <w:t>《外贸日语函电》是日语学科专业选修课程。当今时代，中国经济国际化程度越来越高，对外贸易的比重越来越大，对于商务专业人才的需求也与日俱增。本课程针对上述需求，结合学校教育的特点，以商务日语实务训练为目的，培养具备商务日语的应用能力的人才。</w:t>
      </w:r>
    </w:p>
    <w:p>
      <w:pPr>
        <w:widowControl/>
        <w:ind w:firstLine="300" w:firstLineChars="150"/>
        <w:jc w:val="left"/>
        <w:rPr>
          <w:rFonts w:cs="Times New Roman"/>
          <w:sz w:val="20"/>
          <w:szCs w:val="20"/>
        </w:rPr>
      </w:pPr>
      <w:r>
        <w:rPr>
          <w:rFonts w:hint="eastAsia" w:cs="宋体"/>
          <w:sz w:val="20"/>
          <w:szCs w:val="20"/>
        </w:rPr>
        <w:t>在教学过程中，力求使学生能够运用所学的日语，进行书面沟通和交流。培养学生娴熟而不失礼仪地和对方进行商务文件交流的能力。课程从商务实践出发，使学生熟悉掌握对日贸易的基本流程和专业术语，能够用日语书写各类外贸函电、文书，训练学生从日语角度来考虑基本的商务问题，养成用日语思维的习惯，从而使学生初步具备对日贸易工作的基本能力。当然，一个合格的外贸工作人员，除了在学校要掌握扎实的理论基础知识外，更重要的是在业务实践中，不断地锻炼提高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</w:t>
      </w:r>
    </w:p>
    <w:p>
      <w:pPr>
        <w:ind w:firstLine="400" w:firstLineChars="200"/>
        <w:rPr>
          <w:rFonts w:cs="Times New Roman"/>
          <w:sz w:val="20"/>
          <w:szCs w:val="20"/>
        </w:rPr>
      </w:pPr>
      <w:r>
        <w:rPr>
          <w:rFonts w:hint="eastAsia" w:cs="宋体"/>
          <w:sz w:val="20"/>
          <w:szCs w:val="20"/>
        </w:rPr>
        <w:t>本课程适合日语专业本科第</w:t>
      </w:r>
      <w:r>
        <w:rPr>
          <w:rFonts w:hint="eastAsia" w:cs="宋体" w:eastAsiaTheme="minorEastAsia"/>
          <w:sz w:val="20"/>
          <w:szCs w:val="20"/>
          <w:lang w:val="en-GB"/>
        </w:rPr>
        <w:t>五</w:t>
      </w:r>
      <w:r>
        <w:rPr>
          <w:rFonts w:hint="eastAsia" w:cs="宋体"/>
          <w:sz w:val="20"/>
          <w:szCs w:val="20"/>
        </w:rPr>
        <w:t>学期学习。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四、课程与专业毕业要求的关联性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LO111</w:t>
            </w:r>
            <w:r>
              <w:rPr>
                <w:rFonts w:hint="eastAsia" w:cs="宋体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LO112</w:t>
            </w:r>
            <w:r>
              <w:rPr>
                <w:rFonts w:hint="eastAsia" w:cs="宋体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LO211</w:t>
            </w:r>
            <w:r>
              <w:rPr>
                <w:rFonts w:hint="eastAsia" w:cs="宋体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L0212</w:t>
            </w:r>
            <w:r>
              <w:rPr>
                <w:rFonts w:hint="eastAsia" w:cs="宋体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LO311</w:t>
            </w:r>
            <w:r>
              <w:rPr>
                <w:rFonts w:hint="eastAsia" w:cs="宋体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LO312</w:t>
            </w:r>
            <w:r>
              <w:rPr>
                <w:rFonts w:hint="eastAsia" w:cs="宋体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LO313</w:t>
            </w:r>
            <w:r>
              <w:rPr>
                <w:rFonts w:hint="eastAsia" w:cs="宋体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LO314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LO315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LO321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LO322</w:t>
            </w:r>
            <w:r>
              <w:rPr>
                <w:rFonts w:hint="eastAsia" w:cs="宋体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LO323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LO324</w:t>
            </w:r>
            <w:r>
              <w:rPr>
                <w:rFonts w:hint="eastAsia" w:cs="宋体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LO331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LO332</w:t>
            </w:r>
            <w:r>
              <w:rPr>
                <w:rFonts w:hint="eastAsia" w:cs="宋体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LO341</w:t>
            </w:r>
            <w:r>
              <w:rPr>
                <w:rFonts w:hint="eastAsia" w:cs="宋体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LO342</w:t>
            </w:r>
            <w:r>
              <w:rPr>
                <w:rFonts w:hint="eastAsia" w:cs="宋体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L0411</w:t>
            </w:r>
            <w:r>
              <w:rPr>
                <w:rFonts w:hint="eastAsia" w:cs="宋体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 w:cs="宋体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LO413</w:t>
            </w:r>
            <w:r>
              <w:rPr>
                <w:rFonts w:hint="eastAsia" w:cs="宋体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LO414</w:t>
            </w:r>
            <w:r>
              <w:rPr>
                <w:rFonts w:hint="eastAsia" w:cs="宋体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L0511</w:t>
            </w:r>
            <w:r>
              <w:rPr>
                <w:rFonts w:hint="eastAsia" w:cs="宋体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 w:cs="宋体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 w:cs="宋体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L0514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LO611</w:t>
            </w:r>
            <w:r>
              <w:rPr>
                <w:rFonts w:hint="eastAsia" w:cs="宋体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LO612</w:t>
            </w:r>
            <w:r>
              <w:rPr>
                <w:rFonts w:hint="eastAsia" w:cs="宋体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LO613</w:t>
            </w:r>
            <w:r>
              <w:rPr>
                <w:rFonts w:hint="eastAsia" w:cs="宋体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LO711</w:t>
            </w:r>
            <w:r>
              <w:rPr>
                <w:rFonts w:hint="eastAsia" w:cs="宋体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  <w:r>
              <w:rPr>
                <w:rFonts w:hint="eastAsia" w:cs="宋体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LO713</w:t>
            </w:r>
            <w:r>
              <w:rPr>
                <w:rFonts w:hint="eastAsia" w:cs="宋体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LO714</w:t>
            </w:r>
            <w:r>
              <w:rPr>
                <w:rFonts w:hint="eastAsia" w:cs="宋体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LO811</w:t>
            </w:r>
            <w:r>
              <w:rPr>
                <w:rFonts w:hint="eastAsia" w:cs="宋体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LO812</w:t>
            </w:r>
            <w:r>
              <w:rPr>
                <w:rFonts w:hint="eastAsia" w:cs="宋体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LO813</w:t>
            </w:r>
            <w:r>
              <w:rPr>
                <w:rFonts w:hint="eastAsia" w:cs="宋体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="Times New Roman"/>
          <w:sz w:val="24"/>
          <w:szCs w:val="24"/>
        </w:rPr>
      </w:pPr>
      <w:r>
        <w:rPr>
          <w:rFonts w:hint="eastAsia" w:cs="宋体"/>
        </w:rPr>
        <w:t>备注：</w:t>
      </w:r>
      <w:r>
        <w:t>LO=learning outcomes</w:t>
      </w:r>
      <w:r>
        <w:rPr>
          <w:rFonts w:hint="eastAsia" w:cs="宋体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551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</w:tcPr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3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L0314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了解商务日语写作的基础知识，摆脱汉语的思维方式，用日语进行表达，具备必要的商务应用文写作技能。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教师讲授商务文件的基本格式，书写要点；通过阅读多篇例文，要求学生掌握写作格式。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课堂提问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课后作业</w:t>
            </w:r>
          </w:p>
          <w:p>
            <w:pPr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5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LO341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教师讲授外贸相关知识，结合课本的各类商务信函、文件，让学生实际操练写法。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课堂提问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课后作业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LO342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能够使用日语语言处理商务活动中的常规业务，能用中日文双语撰写公司内外部文书。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教师讲授商务文件的基本格式，书写要点；通过阅读多篇例文，要求学生掌握写作格式。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课堂提问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课后作业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LO713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奉献社会：具有服务企业、服务社会的意愿和行为能力。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通过课上知识点的讲解和课后作业的实际操练，使学生具备书写商务文书的能力，能够服务于企业与社会。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课堂提问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课后作业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宋体" w:cs="Times New Roman"/>
          <w:sz w:val="20"/>
          <w:szCs w:val="20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</w:t>
      </w:r>
    </w:p>
    <w:p>
      <w:pPr>
        <w:snapToGrid w:val="0"/>
        <w:spacing w:line="288" w:lineRule="auto"/>
        <w:ind w:firstLine="400" w:firstLineChars="200"/>
        <w:rPr>
          <w:rFonts w:ascii="宋体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本学期内容共分为四个部分：商务文件的写作基础（导入部分）、社内文件（第一课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hint="eastAsia" w:ascii="宋体" w:hAnsi="宋体" w:cs="宋体"/>
          <w:sz w:val="20"/>
          <w:szCs w:val="20"/>
        </w:rPr>
        <w:t>第五课）、社外（第六课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hint="eastAsia" w:ascii="宋体" w:hAnsi="宋体" w:cs="宋体"/>
          <w:sz w:val="20"/>
          <w:szCs w:val="20"/>
        </w:rPr>
        <w:t>第十课）、其他（第十一课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hint="eastAsia" w:ascii="宋体" w:hAnsi="宋体" w:cs="宋体"/>
          <w:sz w:val="20"/>
          <w:szCs w:val="20"/>
        </w:rPr>
        <w:t>第十四课）。每周一课，共</w:t>
      </w:r>
      <w:r>
        <w:rPr>
          <w:rFonts w:ascii="宋体" w:hAnsi="宋体" w:cs="宋体"/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学时。每周的具体内容由</w:t>
      </w:r>
      <w:r>
        <w:rPr>
          <w:rFonts w:ascii="宋体" w:hAnsi="宋体" w:cs="宋体"/>
          <w:sz w:val="20"/>
          <w:szCs w:val="20"/>
        </w:rPr>
        <w:t>5-6</w:t>
      </w:r>
      <w:r>
        <w:rPr>
          <w:rFonts w:hint="eastAsia" w:ascii="宋体" w:hAnsi="宋体" w:cs="宋体"/>
          <w:sz w:val="20"/>
          <w:szCs w:val="20"/>
        </w:rPr>
        <w:t>篇例文及练习部分构成，每篇例文又由写法要点、相关语句和练习组成。</w:t>
      </w:r>
    </w:p>
    <w:p>
      <w:pPr>
        <w:snapToGrid w:val="0"/>
        <w:spacing w:line="288" w:lineRule="auto"/>
        <w:ind w:firstLine="400" w:firstLineChars="200"/>
        <w:rPr>
          <w:rFonts w:cs="Times New Roman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cs="Times New Roman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cs="Times New Roman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cs="Times New Roman"/>
          <w:sz w:val="20"/>
          <w:szCs w:val="20"/>
        </w:rPr>
      </w:pPr>
    </w:p>
    <w:tbl>
      <w:tblPr>
        <w:tblStyle w:val="5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325"/>
        <w:gridCol w:w="384"/>
        <w:gridCol w:w="992"/>
        <w:gridCol w:w="2126"/>
        <w:gridCol w:w="4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</w:rPr>
              <w:t>掌握日语商务公文的种类，写作规则与技巧，社内文件和社外文件的基本格式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·了解商务公文的在企业信息交换中的必要性和商务公文的种类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掌握日语商务公文的写作规则和技巧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·掌握日语</w:t>
            </w:r>
            <w:r>
              <w:rPr>
                <w:rFonts w:hint="eastAsia" w:cs="宋体"/>
              </w:rPr>
              <w:t>社内文件和社外文件的基本格式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·能够掌握商务公文的写作规则和通用写作技巧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能够掌握日语</w:t>
            </w:r>
            <w:r>
              <w:rPr>
                <w:rFonts w:hint="eastAsia" w:cs="宋体"/>
              </w:rPr>
              <w:t>社内文件和社外文件的基本格式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难点：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·日语</w:t>
            </w:r>
            <w:r>
              <w:rPr>
                <w:rFonts w:hint="eastAsia" w:cs="宋体"/>
              </w:rPr>
              <w:t>社内文件和社外文件的基本写作格式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开头语、结束语、前文、末文的常见搭配语句和日语惯用表现。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掌握公司内部文书的基本格式和写作技巧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了解公司内部文书的种类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掌握不同公司内部文书的写作要领和书写格式</w:t>
            </w: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·掌握</w:t>
            </w:r>
            <w:r>
              <w:rPr>
                <w:rFonts w:hint="eastAsia" w:ascii="宋体" w:hAnsi="宋体" w:cs="宋体"/>
                <w:color w:val="000000"/>
              </w:rPr>
              <w:t>公司内部文书的种类，并能够区分不同文书应用的场景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掌握不同公司内部文书的写作要领和书写格式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难点：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·在不同场景下能够正确选择对应的文书种类，并能够掌握其</w:t>
            </w:r>
            <w:r>
              <w:rPr>
                <w:rFonts w:hint="eastAsia" w:ascii="宋体" w:hAnsi="宋体" w:cs="宋体"/>
                <w:color w:val="000000"/>
              </w:rPr>
              <w:t>写作要领和书写格式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掌握公司外部文书的基本格式和写作技巧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了解公司外部文书的种类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掌握不同公司外部文书的写作要领和书写格式</w:t>
            </w: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掌握</w:t>
            </w:r>
            <w:r>
              <w:rPr>
                <w:rFonts w:hint="eastAsia" w:ascii="宋体" w:hAnsi="宋体" w:cs="宋体"/>
                <w:color w:val="000000"/>
              </w:rPr>
              <w:t>公司外部文书的种类，并能够区分不同文书应用的场景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掌握不同公司外部文书的写作要领和书写格式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难点：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·在不同场景下能够正确选择对应的文书种类，并能够掌握其</w:t>
            </w:r>
            <w:r>
              <w:rPr>
                <w:rFonts w:hint="eastAsia" w:ascii="宋体" w:hAnsi="宋体" w:cs="宋体"/>
                <w:color w:val="000000"/>
              </w:rPr>
              <w:t>写作要领和书写格式</w:t>
            </w:r>
          </w:p>
        </w:tc>
      </w:tr>
      <w:tr>
        <w:trPr>
          <w:trHeight w:val="3534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掌握企业中其他常见文书的写作格式和书写技巧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·了解法律相关文件的基本格式</w:t>
            </w:r>
          </w:p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·了解广告宣传文件的基本格式，并能够制作简单的广告宣传页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掌握履历书和自荐信的写作格式和写作技巧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掌握电子邮件的书写规则</w:t>
            </w:r>
          </w:p>
          <w:p>
            <w:pPr>
              <w:rPr>
                <w:rFonts w:ascii="宋体" w:cs="Times New Roman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能够制作简单的广告宣传页</w:t>
            </w:r>
          </w:p>
          <w:p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能够撰写履历书和自荐信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能够掌握企业电子邮件的书写规则和发送规则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难点：</w:t>
            </w:r>
          </w:p>
          <w:p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履历书和自荐信的正确撰写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企业电子邮件的书写和发送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</w:tbl>
    <w:p>
      <w:pPr>
        <w:snapToGrid w:val="0"/>
        <w:spacing w:line="288" w:lineRule="auto"/>
        <w:ind w:right="26"/>
        <w:rPr>
          <w:rFonts w:cs="Times New Roman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</w:t>
      </w:r>
    </w:p>
    <w:tbl>
      <w:tblPr>
        <w:tblStyle w:val="5"/>
        <w:tblW w:w="87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259"/>
        <w:gridCol w:w="2781"/>
        <w:gridCol w:w="926"/>
        <w:gridCol w:w="1191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21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2259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实验名称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主要内容</w:t>
            </w:r>
          </w:p>
        </w:tc>
        <w:tc>
          <w:tcPr>
            <w:tcW w:w="926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实验</w:t>
            </w:r>
          </w:p>
          <w:p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时数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实验类型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2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25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eastAsia="MS Mincho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节日等问候信函的</w:t>
            </w:r>
            <w:r>
              <w:rPr>
                <w:rFonts w:hint="eastAsia" w:ascii="宋体" w:cs="宋体"/>
                <w:sz w:val="18"/>
                <w:szCs w:val="18"/>
              </w:rPr>
              <w:t>写作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进行商务场景中礼仪问候的写作练习</w:t>
            </w:r>
          </w:p>
        </w:tc>
        <w:tc>
          <w:tcPr>
            <w:tcW w:w="92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2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225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eastAsia="MS Mincho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产品介绍等广告宣传文件</w:t>
            </w:r>
            <w:r>
              <w:rPr>
                <w:rFonts w:hint="eastAsia" w:ascii="宋体" w:cs="宋体"/>
                <w:sz w:val="18"/>
                <w:szCs w:val="18"/>
              </w:rPr>
              <w:t>写作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进行</w:t>
            </w:r>
            <w:r>
              <w:rPr>
                <w:rFonts w:hint="eastAsia" w:ascii="宋体" w:hAnsi="宋体" w:cs="宋体"/>
                <w:sz w:val="18"/>
                <w:szCs w:val="18"/>
              </w:rPr>
              <w:t>产品介绍等广告宣传</w:t>
            </w:r>
            <w:r>
              <w:rPr>
                <w:rFonts w:hint="eastAsia" w:ascii="宋体" w:cs="宋体"/>
                <w:sz w:val="18"/>
                <w:szCs w:val="18"/>
              </w:rPr>
              <w:t>的写作练习</w:t>
            </w:r>
          </w:p>
        </w:tc>
        <w:tc>
          <w:tcPr>
            <w:tcW w:w="92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52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25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eastAsia="MS Mincho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履历书和自荐信的写作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进行</w:t>
            </w:r>
            <w:r>
              <w:rPr>
                <w:rFonts w:hint="eastAsia" w:ascii="宋体" w:hAnsi="宋体" w:cs="宋体"/>
                <w:sz w:val="18"/>
                <w:szCs w:val="18"/>
              </w:rPr>
              <w:t>个人简历和自荐信</w:t>
            </w:r>
            <w:r>
              <w:rPr>
                <w:rFonts w:hint="eastAsia" w:ascii="宋体" w:cs="宋体"/>
                <w:sz w:val="18"/>
                <w:szCs w:val="18"/>
              </w:rPr>
              <w:t>的写作练习</w:t>
            </w:r>
          </w:p>
        </w:tc>
        <w:tc>
          <w:tcPr>
            <w:tcW w:w="92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52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25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eastAsia="MS Mincho" w:cs="Times New Roman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电子邮件的</w:t>
            </w:r>
            <w:r>
              <w:rPr>
                <w:rFonts w:hint="eastAsia" w:ascii="宋体" w:hAnsi="宋体" w:cs="宋体"/>
                <w:sz w:val="18"/>
                <w:szCs w:val="18"/>
              </w:rPr>
              <w:t>写作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进行</w:t>
            </w:r>
            <w:r>
              <w:rPr>
                <w:rFonts w:hint="eastAsia" w:ascii="宋体" w:hAnsi="宋体" w:cs="宋体"/>
                <w:sz w:val="18"/>
                <w:szCs w:val="18"/>
              </w:rPr>
              <w:t>公司内外部文书的电子邮件</w:t>
            </w:r>
            <w:r>
              <w:rPr>
                <w:rFonts w:hint="eastAsia" w:ascii="宋体" w:cs="宋体"/>
                <w:sz w:val="18"/>
                <w:szCs w:val="18"/>
              </w:rPr>
              <w:t>写作练习</w:t>
            </w:r>
          </w:p>
        </w:tc>
        <w:tc>
          <w:tcPr>
            <w:tcW w:w="92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八、评价方式与成绩</w:t>
      </w:r>
    </w:p>
    <w:p>
      <w:pPr>
        <w:snapToGrid w:val="0"/>
        <w:spacing w:line="288" w:lineRule="auto"/>
        <w:ind w:right="2520"/>
        <w:rPr>
          <w:rFonts w:ascii="黑体" w:hAnsi="宋体" w:eastAsia="黑体" w:cs="黑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2109" w:tblpY="1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期终闭卷考试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 w:eastAsiaTheme="minorEastAsia"/>
                <w:color w:val="00000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随堂过程性考试1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随堂过程性考试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随堂过程性考试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3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 w:cs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="Times New Roman"/>
          <w:sz w:val="24"/>
          <w:szCs w:val="24"/>
        </w:rPr>
      </w:pPr>
    </w:p>
    <w:p>
      <w:pPr>
        <w:snapToGrid w:val="0"/>
        <w:spacing w:line="288" w:lineRule="auto"/>
        <w:ind w:left="0" w:leftChars="0" w:firstLine="0" w:firstLineChars="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撰写人：</w:t>
      </w:r>
      <w:r>
        <w:rPr>
          <w:rFonts w:cs="宋体"/>
          <w:sz w:val="28"/>
          <w:szCs w:val="28"/>
        </w:rPr>
        <w:drawing>
          <wp:inline distT="0" distB="0" distL="114300" distR="114300">
            <wp:extent cx="758190" cy="323850"/>
            <wp:effectExtent l="0" t="0" r="3810" b="6350"/>
            <wp:docPr id="2" name="图片 2" descr="魏嘉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魏嘉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系主任审核签名：</w:t>
      </w:r>
      <w:r>
        <w:drawing>
          <wp:inline distT="0" distB="0" distL="0" distR="0">
            <wp:extent cx="758190" cy="271145"/>
            <wp:effectExtent l="0" t="0" r="38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cs="宋体"/>
          <w:sz w:val="28"/>
          <w:szCs w:val="28"/>
        </w:rPr>
        <w:t>审核时间：2</w:t>
      </w:r>
      <w:r>
        <w:rPr>
          <w:rFonts w:cs="宋体"/>
          <w:sz w:val="28"/>
          <w:szCs w:val="28"/>
        </w:rPr>
        <w:t>022-9-22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53014"/>
    <w:rsid w:val="000815B1"/>
    <w:rsid w:val="000C13EF"/>
    <w:rsid w:val="001072BC"/>
    <w:rsid w:val="00132329"/>
    <w:rsid w:val="00136E25"/>
    <w:rsid w:val="00140A12"/>
    <w:rsid w:val="001563AE"/>
    <w:rsid w:val="001E3C39"/>
    <w:rsid w:val="001F1208"/>
    <w:rsid w:val="00203ADE"/>
    <w:rsid w:val="00256B39"/>
    <w:rsid w:val="0026033C"/>
    <w:rsid w:val="002A6D2C"/>
    <w:rsid w:val="002C7BDA"/>
    <w:rsid w:val="002E3721"/>
    <w:rsid w:val="002F6F73"/>
    <w:rsid w:val="00306894"/>
    <w:rsid w:val="00313BBA"/>
    <w:rsid w:val="00317E29"/>
    <w:rsid w:val="0032229A"/>
    <w:rsid w:val="00324E6C"/>
    <w:rsid w:val="0032602E"/>
    <w:rsid w:val="003367AE"/>
    <w:rsid w:val="0037404A"/>
    <w:rsid w:val="00382446"/>
    <w:rsid w:val="00393D90"/>
    <w:rsid w:val="003B1258"/>
    <w:rsid w:val="003C675C"/>
    <w:rsid w:val="004100B0"/>
    <w:rsid w:val="00431183"/>
    <w:rsid w:val="00441404"/>
    <w:rsid w:val="00477033"/>
    <w:rsid w:val="004837A6"/>
    <w:rsid w:val="004A77C5"/>
    <w:rsid w:val="005467DC"/>
    <w:rsid w:val="005507E6"/>
    <w:rsid w:val="0055337B"/>
    <w:rsid w:val="00553D03"/>
    <w:rsid w:val="0056283F"/>
    <w:rsid w:val="005A0EA5"/>
    <w:rsid w:val="005A363F"/>
    <w:rsid w:val="005B2B6D"/>
    <w:rsid w:val="005B4B4E"/>
    <w:rsid w:val="00624FE1"/>
    <w:rsid w:val="0063199B"/>
    <w:rsid w:val="00652C0C"/>
    <w:rsid w:val="00671B4C"/>
    <w:rsid w:val="00680083"/>
    <w:rsid w:val="0069170E"/>
    <w:rsid w:val="006A4A20"/>
    <w:rsid w:val="006B5CE4"/>
    <w:rsid w:val="006D0042"/>
    <w:rsid w:val="006D143E"/>
    <w:rsid w:val="007156A8"/>
    <w:rsid w:val="0072062C"/>
    <w:rsid w:val="007208D6"/>
    <w:rsid w:val="00735C4B"/>
    <w:rsid w:val="007435B1"/>
    <w:rsid w:val="007D35E9"/>
    <w:rsid w:val="008160F3"/>
    <w:rsid w:val="008B397C"/>
    <w:rsid w:val="008B47F4"/>
    <w:rsid w:val="008E15D3"/>
    <w:rsid w:val="00900019"/>
    <w:rsid w:val="009257ED"/>
    <w:rsid w:val="0098318E"/>
    <w:rsid w:val="00985EDD"/>
    <w:rsid w:val="0099063E"/>
    <w:rsid w:val="00A321CA"/>
    <w:rsid w:val="00A51D19"/>
    <w:rsid w:val="00A769B1"/>
    <w:rsid w:val="00A837D5"/>
    <w:rsid w:val="00AC4C45"/>
    <w:rsid w:val="00AD45E7"/>
    <w:rsid w:val="00AF2A47"/>
    <w:rsid w:val="00B21590"/>
    <w:rsid w:val="00B406BA"/>
    <w:rsid w:val="00B44A93"/>
    <w:rsid w:val="00B46F21"/>
    <w:rsid w:val="00B511A5"/>
    <w:rsid w:val="00B736A7"/>
    <w:rsid w:val="00B7651F"/>
    <w:rsid w:val="00B95B5D"/>
    <w:rsid w:val="00BA64F0"/>
    <w:rsid w:val="00BE0AA4"/>
    <w:rsid w:val="00C12F33"/>
    <w:rsid w:val="00C56E09"/>
    <w:rsid w:val="00C60117"/>
    <w:rsid w:val="00CF096B"/>
    <w:rsid w:val="00CF5CB2"/>
    <w:rsid w:val="00D16441"/>
    <w:rsid w:val="00D2741E"/>
    <w:rsid w:val="00D66141"/>
    <w:rsid w:val="00D84F9E"/>
    <w:rsid w:val="00DF1F61"/>
    <w:rsid w:val="00E16D30"/>
    <w:rsid w:val="00E33169"/>
    <w:rsid w:val="00E66524"/>
    <w:rsid w:val="00E70904"/>
    <w:rsid w:val="00E718C7"/>
    <w:rsid w:val="00EF44B1"/>
    <w:rsid w:val="00EF7FAE"/>
    <w:rsid w:val="00F10A77"/>
    <w:rsid w:val="00F26D56"/>
    <w:rsid w:val="00F3232E"/>
    <w:rsid w:val="00F35AA0"/>
    <w:rsid w:val="00F67CC2"/>
    <w:rsid w:val="00FC5E7F"/>
    <w:rsid w:val="00FF462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C174B47"/>
    <w:rsid w:val="6F1E65D4"/>
    <w:rsid w:val="6F266C86"/>
    <w:rsid w:val="6F5042C2"/>
    <w:rsid w:val="74316312"/>
    <w:rsid w:val="7548738A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iPriority w:val="99"/>
    <w:pPr>
      <w:jc w:val="left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semiHidden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文字 字符"/>
    <w:basedOn w:val="7"/>
    <w:link w:val="2"/>
    <w:qFormat/>
    <w:locked/>
    <w:uiPriority w:val="99"/>
    <w:rPr>
      <w:rFonts w:ascii="Calibri" w:hAnsi="Calibri" w:eastAsia="宋体" w:cs="Calibri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6</Pages>
  <Words>3144</Words>
  <Characters>3423</Characters>
  <Lines>5</Lines>
  <Paragraphs>7</Paragraphs>
  <TotalTime>1</TotalTime>
  <ScaleCrop>false</ScaleCrop>
  <LinksUpToDate>false</LinksUpToDate>
  <CharactersWithSpaces>3437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2021-09-07T05:44:00Z</dcterms:created>
  <dc:creator>juvg</dc:creator>
  <cp:lastModifiedBy>Administrator</cp:lastModifiedBy>
  <dcterms:modified xsi:type="dcterms:W3CDTF">2023-03-20T01:02:37Z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8339189024344CE49CFCF5AA04A9EFA1</vt:lpwstr>
  </property>
</Properties>
</file>