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y1ZHmtQAAAAIAQAADwAAAAAAAAABACAAAAAiAAAAZHJzL2Rvd25y&#10;ZXYueG1sUEsBAhQAFAAAAAgAh07iQLIEjao7AgAATwQAAA4AAAAAAAAAAQAgAAAAIwEAAGRycy9l&#10;Mm9Eb2MueG1sUEsFBgAAAAAGAAYAWQEAANA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【日语商务谈判】</w:t>
      </w:r>
    </w:p>
    <w:p>
      <w:pPr>
        <w:shd w:val="clear" w:color="auto" w:fill="F5F5F5"/>
        <w:jc w:val="center"/>
        <w:textAlignment w:val="top"/>
        <w:rPr>
          <w:rFonts w:eastAsia="MS Mincho"/>
          <w:b/>
          <w:sz w:val="28"/>
          <w:szCs w:val="30"/>
          <w:lang w:eastAsia="ja-JP"/>
        </w:rPr>
      </w:pPr>
      <w:r>
        <w:rPr>
          <w:rFonts w:hint="eastAsia"/>
          <w:b/>
          <w:sz w:val="28"/>
          <w:szCs w:val="30"/>
        </w:rPr>
        <w:t>【</w:t>
      </w:r>
      <w:r>
        <w:rPr>
          <w:rFonts w:hint="eastAsia" w:eastAsia="MS Mincho"/>
          <w:b/>
          <w:sz w:val="28"/>
          <w:szCs w:val="30"/>
          <w:lang w:eastAsia="ja-JP"/>
        </w:rPr>
        <w:t xml:space="preserve">Japanese in </w:t>
      </w:r>
      <w:r>
        <w:rPr>
          <w:rFonts w:hint="eastAsia" w:eastAsiaTheme="minorEastAsia"/>
          <w:b/>
          <w:sz w:val="28"/>
          <w:szCs w:val="30"/>
        </w:rPr>
        <w:t>I</w:t>
      </w:r>
      <w:r>
        <w:rPr>
          <w:rFonts w:hint="eastAsia" w:eastAsia="MS Mincho"/>
          <w:b/>
          <w:sz w:val="28"/>
          <w:szCs w:val="30"/>
          <w:lang w:eastAsia="ja-JP"/>
        </w:rPr>
        <w:t xml:space="preserve">nternational </w:t>
      </w:r>
      <w:r>
        <w:rPr>
          <w:rFonts w:hint="eastAsia" w:eastAsiaTheme="minorEastAsia"/>
          <w:b/>
          <w:sz w:val="28"/>
          <w:szCs w:val="30"/>
        </w:rPr>
        <w:t>B</w:t>
      </w:r>
      <w:r>
        <w:rPr>
          <w:rFonts w:hint="eastAsia" w:eastAsia="MS Mincho"/>
          <w:b/>
          <w:sz w:val="28"/>
          <w:szCs w:val="30"/>
          <w:lang w:eastAsia="ja-JP"/>
        </w:rPr>
        <w:t>usiness</w:t>
      </w:r>
      <w:r>
        <w:rPr>
          <w:rFonts w:hint="eastAsia"/>
          <w:b/>
          <w:sz w:val="28"/>
          <w:szCs w:val="30"/>
        </w:rPr>
        <w:t>】</w:t>
      </w:r>
    </w:p>
    <w:p>
      <w:pPr>
        <w:spacing w:before="156" w:beforeLines="50" w:after="156" w:afterLines="50" w:line="288" w:lineRule="auto"/>
        <w:ind w:firstLine="361" w:firstLineChars="150"/>
        <w:rPr>
          <w:rFonts w:asciiTheme="majorEastAsia" w:hAnsiTheme="majorEastAsia" w:eastAsiaTheme="majorEastAsia"/>
          <w:b/>
          <w:sz w:val="24"/>
        </w:rPr>
      </w:pPr>
    </w:p>
    <w:p>
      <w:pPr>
        <w:spacing w:before="156" w:beforeLines="50" w:after="156" w:afterLines="50" w:line="288" w:lineRule="auto"/>
        <w:ind w:firstLine="361" w:firstLineChars="150"/>
        <w:rPr>
          <w:rFonts w:asciiTheme="majorEastAsia" w:hAnsiTheme="majorEastAsia" w:eastAsiaTheme="majorEastAsia"/>
          <w:b/>
          <w:color w:val="008080"/>
          <w:sz w:val="30"/>
          <w:szCs w:val="30"/>
        </w:rPr>
      </w:pPr>
      <w:r>
        <w:rPr>
          <w:rFonts w:asciiTheme="majorEastAsia" w:hAnsiTheme="majorEastAsia" w:eastAsiaTheme="majorEastAsia"/>
          <w:b/>
          <w:sz w:val="24"/>
        </w:rPr>
        <w:t>一</w:t>
      </w:r>
      <w:r>
        <w:rPr>
          <w:rFonts w:hint="eastAsia" w:asciiTheme="majorEastAsia" w:hAnsiTheme="majorEastAsia" w:eastAsiaTheme="majorEastAsia"/>
          <w:b/>
          <w:sz w:val="24"/>
        </w:rPr>
        <w:t>、</w:t>
      </w:r>
      <w:r>
        <w:rPr>
          <w:rFonts w:asciiTheme="majorEastAsia" w:hAnsiTheme="majorEastAsia" w:eastAsiaTheme="majorEastAsia"/>
          <w:b/>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1020032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日语专业本科</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Cs/>
          <w:color w:val="000000"/>
          <w:sz w:val="20"/>
          <w:szCs w:val="20"/>
        </w:rPr>
        <w:t>外国语学院日语系</w:t>
      </w:r>
    </w:p>
    <w:p>
      <w:pPr>
        <w:snapToGrid w:val="0"/>
        <w:spacing w:line="288" w:lineRule="auto"/>
        <w:ind w:firstLine="394" w:firstLineChars="196"/>
        <w:rPr>
          <w:color w:val="000000"/>
          <w:sz w:val="20"/>
          <w:szCs w:val="20"/>
        </w:rPr>
      </w:pPr>
      <w:r>
        <w:rPr>
          <w:b/>
          <w:bCs/>
          <w:color w:val="000000"/>
          <w:sz w:val="20"/>
          <w:szCs w:val="20"/>
        </w:rPr>
        <w:t>使用教材：</w:t>
      </w:r>
    </w:p>
    <w:p>
      <w:pPr>
        <w:tabs>
          <w:tab w:val="left" w:pos="4253"/>
        </w:tabs>
        <w:snapToGrid w:val="0"/>
        <w:spacing w:line="288" w:lineRule="auto"/>
        <w:ind w:firstLine="792" w:firstLineChars="396"/>
        <w:rPr>
          <w:color w:val="000000"/>
          <w:szCs w:val="21"/>
        </w:rPr>
      </w:pPr>
      <w:r>
        <w:rPr>
          <w:color w:val="000000"/>
          <w:sz w:val="20"/>
          <w:szCs w:val="20"/>
        </w:rPr>
        <w:t>教材【</w:t>
      </w:r>
      <w:r>
        <w:rPr>
          <w:rFonts w:hint="eastAsia" w:eastAsiaTheme="minorEastAsia"/>
          <w:color w:val="000000"/>
          <w:sz w:val="20"/>
          <w:szCs w:val="20"/>
        </w:rPr>
        <w:t>新编国际商务日语谈判】</w:t>
      </w:r>
      <w:r>
        <w:rPr>
          <w:rFonts w:hint="eastAsia"/>
          <w:color w:val="000000"/>
          <w:sz w:val="20"/>
          <w:szCs w:val="20"/>
        </w:rPr>
        <w:t>总主编 王健宜 南开大学出版社</w:t>
      </w:r>
      <w:r>
        <w:rPr>
          <w:color w:val="000000"/>
          <w:sz w:val="20"/>
          <w:szCs w:val="20"/>
        </w:rPr>
        <w:t>】</w:t>
      </w:r>
    </w:p>
    <w:p>
      <w:pPr>
        <w:snapToGrid w:val="0"/>
        <w:spacing w:line="288" w:lineRule="auto"/>
        <w:ind w:firstLine="800" w:firstLineChars="400"/>
        <w:jc w:val="left"/>
        <w:rPr>
          <w:rFonts w:eastAsia="MS Mincho"/>
          <w:b/>
          <w:bCs/>
          <w:color w:val="000000"/>
          <w:sz w:val="20"/>
          <w:szCs w:val="20"/>
          <w:lang w:eastAsia="ja-JP"/>
        </w:rPr>
      </w:pPr>
      <w:r>
        <w:rPr>
          <w:color w:val="000000"/>
          <w:sz w:val="20"/>
          <w:szCs w:val="20"/>
          <w:lang w:eastAsia="ja-JP"/>
        </w:rPr>
        <w:t>参考</w:t>
      </w:r>
      <w:r>
        <w:rPr>
          <w:rFonts w:hint="eastAsia"/>
          <w:color w:val="000000"/>
          <w:sz w:val="20"/>
          <w:szCs w:val="20"/>
          <w:lang w:eastAsia="ja-JP"/>
        </w:rPr>
        <w:t>书目</w:t>
      </w:r>
      <w:r>
        <w:rPr>
          <w:color w:val="000000"/>
          <w:sz w:val="20"/>
          <w:szCs w:val="20"/>
          <w:lang w:eastAsia="ja-JP"/>
        </w:rPr>
        <w:t>【</w:t>
      </w:r>
      <w:r>
        <w:rPr>
          <w:rFonts w:hint="eastAsia" w:ascii="MS UI Gothic" w:hAnsi="MS UI Gothic" w:eastAsia="MS UI Gothic"/>
          <w:color w:val="000000"/>
          <w:sz w:val="20"/>
          <w:szCs w:val="20"/>
          <w:lang w:eastAsia="ja-JP"/>
        </w:rPr>
        <w:t>ハーバード流“NOと言わせない交渉術”ウィリアムユーリー著、三笠書房</w:t>
      </w:r>
      <w:r>
        <w:rPr>
          <w:rFonts w:ascii="MS UI Gothic" w:hAnsi="MS UI Gothic" w:eastAsia="MS UI Gothic"/>
          <w:color w:val="000000"/>
          <w:sz w:val="20"/>
          <w:szCs w:val="20"/>
          <w:lang w:eastAsia="ja-JP"/>
        </w:rPr>
        <w:t>】</w:t>
      </w:r>
    </w:p>
    <w:p>
      <w:pPr>
        <w:snapToGrid w:val="0"/>
        <w:spacing w:line="288" w:lineRule="auto"/>
        <w:ind w:firstLine="394" w:firstLineChars="196"/>
        <w:jc w:val="left"/>
        <w:rPr>
          <w:b/>
          <w:bCs/>
          <w:color w:val="000000"/>
          <w:sz w:val="20"/>
          <w:szCs w:val="20"/>
        </w:rPr>
      </w:pPr>
      <w:r>
        <w:rPr>
          <w:rFonts w:hint="eastAsia"/>
          <w:b/>
          <w:bCs/>
          <w:color w:val="000000"/>
          <w:sz w:val="20"/>
          <w:szCs w:val="20"/>
        </w:rPr>
        <w:t>课程网站网址：</w:t>
      </w:r>
      <w:r>
        <w:rPr>
          <w:b/>
          <w:bCs/>
          <w:color w:val="000000"/>
          <w:sz w:val="20"/>
          <w:szCs w:val="20"/>
        </w:rPr>
        <w:t>http://kczx.gench.edu.cn/G2S/Template/View.aspx?action=view&amp;courseType=0&amp;courseId</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基础日语（4）2020055</w:t>
      </w:r>
      <w:r>
        <w:rPr>
          <w:color w:val="000000"/>
          <w:sz w:val="20"/>
          <w:szCs w:val="20"/>
        </w:rPr>
        <w:t>】</w:t>
      </w:r>
    </w:p>
    <w:p>
      <w:pPr>
        <w:spacing w:before="156" w:beforeLines="50" w:after="156" w:afterLines="50" w:line="288" w:lineRule="auto"/>
        <w:ind w:firstLine="361" w:firstLineChars="150"/>
        <w:rPr>
          <w:rFonts w:asciiTheme="majorEastAsia" w:hAnsiTheme="majorEastAsia" w:eastAsiaTheme="majorEastAsia"/>
          <w:b/>
          <w:sz w:val="24"/>
        </w:rPr>
      </w:pPr>
      <w:bookmarkStart w:id="0" w:name="_GoBack"/>
      <w:bookmarkEnd w:id="0"/>
    </w:p>
    <w:p>
      <w:pPr>
        <w:spacing w:before="156" w:beforeLines="50" w:after="156" w:afterLines="50" w:line="288" w:lineRule="auto"/>
        <w:ind w:firstLine="361" w:firstLineChars="150"/>
        <w:rPr>
          <w:rFonts w:asciiTheme="majorEastAsia" w:hAnsiTheme="majorEastAsia" w:eastAsiaTheme="majorEastAsia"/>
          <w:b/>
          <w:sz w:val="24"/>
        </w:rPr>
      </w:pPr>
      <w:r>
        <w:rPr>
          <w:rFonts w:asciiTheme="majorEastAsia" w:hAnsiTheme="majorEastAsia" w:eastAsiaTheme="majorEastAsia"/>
          <w:b/>
          <w:sz w:val="24"/>
        </w:rPr>
        <w:t>二</w:t>
      </w:r>
      <w:r>
        <w:rPr>
          <w:rFonts w:hint="eastAsia" w:asciiTheme="majorEastAsia" w:hAnsiTheme="majorEastAsia" w:eastAsiaTheme="majorEastAsia"/>
          <w:b/>
          <w:sz w:val="24"/>
        </w:rPr>
        <w:t>、</w:t>
      </w:r>
      <w:r>
        <w:rPr>
          <w:rFonts w:asciiTheme="majorEastAsia" w:hAnsiTheme="majorEastAsia" w:eastAsiaTheme="majorEastAsia"/>
          <w:b/>
          <w:sz w:val="24"/>
        </w:rPr>
        <w:t>课程简介</w:t>
      </w:r>
    </w:p>
    <w:p>
      <w:pPr>
        <w:snapToGrid w:val="0"/>
        <w:spacing w:line="380" w:lineRule="exact"/>
        <w:ind w:left="401" w:leftChars="191" w:firstLine="391"/>
        <w:rPr>
          <w:rFonts w:eastAsia="MS Mincho" w:asciiTheme="majorEastAsia" w:hAnsiTheme="majorEastAsia"/>
          <w:color w:val="000000"/>
          <w:sz w:val="18"/>
          <w:szCs w:val="18"/>
        </w:rPr>
      </w:pPr>
      <w:r>
        <w:rPr>
          <w:rFonts w:hint="eastAsia" w:asciiTheme="majorEastAsia" w:hAnsiTheme="majorEastAsia" w:eastAsiaTheme="majorEastAsia"/>
          <w:color w:val="000000"/>
          <w:sz w:val="18"/>
          <w:szCs w:val="18"/>
        </w:rPr>
        <w:t>本课程的教学对象为日语系本科专业三年级第五学期的学生。其主要目的是帮助学生巩固以往所学的日语语言知识，在此基础上接触、了解国际商贸活动中“预约”、“访问”、“宣传介绍”、“接待”、“询盘”、“还盘”、“品质·规格及数量”、“价格交涉”、“交货期”、“支付”、“信用证”、“</w:t>
      </w:r>
      <w:r>
        <w:rPr>
          <w:rFonts w:hint="eastAsia" w:ascii="MS Mincho" w:hAnsi="MS Mincho" w:eastAsiaTheme="minorEastAsia"/>
          <w:color w:val="000000"/>
          <w:sz w:val="18"/>
          <w:szCs w:val="18"/>
        </w:rPr>
        <w:t>包装</w:t>
      </w:r>
      <w:r>
        <w:rPr>
          <w:rFonts w:hint="eastAsia" w:asciiTheme="majorEastAsia" w:hAnsiTheme="majorEastAsia" w:eastAsiaTheme="majorEastAsia"/>
          <w:color w:val="000000"/>
          <w:sz w:val="18"/>
          <w:szCs w:val="18"/>
        </w:rPr>
        <w:t>”等各个环节中所涉及的相关专业知识与日语表达形式及技巧。目的在于培养既有专业知识，又具备实际运用能力，学识广博的复合型人才。</w:t>
      </w:r>
    </w:p>
    <w:p>
      <w:pPr>
        <w:snapToGrid w:val="0"/>
        <w:spacing w:line="380" w:lineRule="exact"/>
        <w:ind w:left="401" w:leftChars="191" w:firstLine="391"/>
        <w:rPr>
          <w:rFonts w:asciiTheme="majorEastAsia" w:hAnsiTheme="majorEastAsia" w:eastAsiaTheme="minorEastAsia"/>
          <w:color w:val="000000"/>
          <w:sz w:val="18"/>
          <w:szCs w:val="18"/>
        </w:rPr>
      </w:pPr>
      <w:r>
        <w:rPr>
          <w:rFonts w:hint="eastAsia" w:asciiTheme="majorEastAsia" w:hAnsiTheme="majorEastAsia" w:eastAsiaTheme="minorEastAsia"/>
          <w:color w:val="000000"/>
          <w:sz w:val="18"/>
          <w:szCs w:val="18"/>
        </w:rPr>
        <w:t>本课程共16课，涵盖</w:t>
      </w:r>
      <w:r>
        <w:rPr>
          <w:rFonts w:hint="eastAsia" w:asciiTheme="majorEastAsia" w:hAnsiTheme="majorEastAsia" w:eastAsiaTheme="majorEastAsia"/>
          <w:color w:val="000000"/>
          <w:sz w:val="18"/>
          <w:szCs w:val="18"/>
        </w:rPr>
        <w:t>“预约”、“访问”、“宣传介绍”、“接待”、“询盘”、“还盘”、“品质·规格及数量”、“价格交涉”、“交货期”、“支付”、“信用证”、“包装”等16个单元。每个单元中具体学习内容有：概念说明、流程介绍、特定场景中对话、参考语句、单词、语法及例句、实用表达语句和练习。通</w:t>
      </w:r>
      <w:r>
        <w:rPr>
          <w:rFonts w:hint="eastAsia" w:asciiTheme="majorEastAsia" w:hAnsiTheme="majorEastAsia" w:eastAsiaTheme="minorEastAsia"/>
          <w:color w:val="000000"/>
          <w:sz w:val="18"/>
          <w:szCs w:val="18"/>
        </w:rPr>
        <w:t>过朗朗上口的会话体文章和简明易懂的说明文，深入浅出地传授与国际商务谈判方面的相关知识、日语词汇、表达方式。用日语介绍商贸专业基础知识，不啻为外语教学实践中的大胆尝试。有助于学生学以致用，为今后社会实践打下良好的基础。</w:t>
      </w:r>
    </w:p>
    <w:p>
      <w:pPr>
        <w:snapToGrid w:val="0"/>
        <w:spacing w:line="380" w:lineRule="exact"/>
        <w:ind w:left="401" w:leftChars="191" w:firstLine="391"/>
        <w:rPr>
          <w:color w:val="000000"/>
          <w:sz w:val="20"/>
          <w:szCs w:val="20"/>
          <w:lang w:eastAsia="ja-JP"/>
        </w:rPr>
      </w:pPr>
      <w:r>
        <w:rPr>
          <w:rFonts w:hint="eastAsia" w:asciiTheme="majorEastAsia" w:hAnsiTheme="majorEastAsia" w:eastAsiaTheme="majorEastAsia"/>
          <w:color w:val="000000"/>
          <w:sz w:val="18"/>
          <w:szCs w:val="18"/>
        </w:rPr>
        <w:t>作为一门选修课，考虑到学分以及总课时的安排，根据该教材涵盖的内容量，本学期该课程以每四周三课的进度展开教学，授课范围为第一课～第十二课。</w:t>
      </w:r>
      <w:r>
        <w:rPr>
          <w:rFonts w:hint="eastAsia" w:ascii="MS Mincho" w:hAnsi="MS Mincho" w:eastAsiaTheme="minorEastAsia"/>
          <w:color w:val="000000"/>
          <w:sz w:val="18"/>
          <w:szCs w:val="18"/>
          <w:lang w:eastAsia="ja-JP"/>
        </w:rPr>
        <w:t>标题如下所示，</w:t>
      </w:r>
      <w:r>
        <w:rPr>
          <w:rFonts w:hint="eastAsia" w:asciiTheme="majorEastAsia" w:hAnsiTheme="majorEastAsia" w:eastAsiaTheme="majorEastAsia"/>
          <w:color w:val="000000"/>
          <w:sz w:val="18"/>
          <w:szCs w:val="18"/>
          <w:lang w:eastAsia="ja-JP"/>
        </w:rPr>
        <w:t>第一课</w:t>
      </w:r>
      <w:r>
        <w:rPr>
          <w:rFonts w:hint="eastAsia" w:ascii="MS Mincho" w:hAnsi="MS Mincho" w:eastAsia="MS Mincho"/>
          <w:color w:val="000000"/>
          <w:sz w:val="18"/>
          <w:szCs w:val="18"/>
          <w:lang w:eastAsia="ja-JP"/>
        </w:rPr>
        <w:t>　</w:t>
      </w:r>
      <w:r>
        <w:rPr>
          <w:rFonts w:hint="eastAsia" w:eastAsia="MS Mincho" w:asciiTheme="majorEastAsia" w:hAnsiTheme="majorEastAsia"/>
          <w:color w:val="000000"/>
          <w:sz w:val="18"/>
          <w:szCs w:val="18"/>
          <w:lang w:eastAsia="ja-JP"/>
        </w:rPr>
        <w:t>アポイントメント、</w:t>
      </w:r>
      <w:r>
        <w:rPr>
          <w:rFonts w:hint="eastAsia" w:asciiTheme="majorEastAsia" w:hAnsiTheme="majorEastAsia" w:eastAsiaTheme="majorEastAsia"/>
          <w:color w:val="000000"/>
          <w:sz w:val="18"/>
          <w:szCs w:val="18"/>
          <w:lang w:eastAsia="ja-JP"/>
        </w:rPr>
        <w:t>第二课</w:t>
      </w:r>
      <w:r>
        <w:rPr>
          <w:rFonts w:hint="eastAsia" w:ascii="MS Mincho" w:hAnsi="MS Mincho" w:eastAsia="MS Mincho"/>
          <w:color w:val="000000"/>
          <w:sz w:val="18"/>
          <w:szCs w:val="18"/>
          <w:lang w:eastAsia="ja-JP"/>
        </w:rPr>
        <w:t>　企業訪問、</w:t>
      </w:r>
      <w:r>
        <w:rPr>
          <w:rFonts w:hint="eastAsia" w:asciiTheme="majorEastAsia" w:hAnsiTheme="majorEastAsia" w:eastAsiaTheme="majorEastAsia"/>
          <w:color w:val="000000"/>
          <w:sz w:val="18"/>
          <w:szCs w:val="18"/>
          <w:lang w:eastAsia="ja-JP"/>
        </w:rPr>
        <w:t xml:space="preserve"> 第三课</w:t>
      </w:r>
      <w:r>
        <w:rPr>
          <w:rFonts w:hint="eastAsia" w:ascii="MS Mincho" w:hAnsi="MS Mincho" w:eastAsia="MS Mincho"/>
          <w:color w:val="000000"/>
          <w:sz w:val="18"/>
          <w:szCs w:val="18"/>
          <w:lang w:eastAsia="ja-JP"/>
        </w:rPr>
        <w:t>　プレゼンテーション、</w:t>
      </w:r>
      <w:r>
        <w:rPr>
          <w:rFonts w:hint="eastAsia" w:asciiTheme="majorEastAsia" w:hAnsiTheme="majorEastAsia" w:eastAsiaTheme="majorEastAsia"/>
          <w:color w:val="000000"/>
          <w:sz w:val="18"/>
          <w:szCs w:val="18"/>
          <w:lang w:eastAsia="ja-JP"/>
        </w:rPr>
        <w:t>第四课</w:t>
      </w:r>
      <w:r>
        <w:rPr>
          <w:rFonts w:hint="eastAsia" w:ascii="MS Mincho" w:hAnsi="MS Mincho" w:eastAsia="MS Mincho"/>
          <w:color w:val="000000"/>
          <w:sz w:val="18"/>
          <w:szCs w:val="18"/>
          <w:lang w:eastAsia="ja-JP"/>
        </w:rPr>
        <w:t>　接待、</w:t>
      </w:r>
      <w:r>
        <w:rPr>
          <w:rFonts w:hint="eastAsia" w:asciiTheme="majorEastAsia" w:hAnsiTheme="majorEastAsia" w:eastAsiaTheme="majorEastAsia"/>
          <w:color w:val="000000"/>
          <w:sz w:val="18"/>
          <w:szCs w:val="18"/>
          <w:lang w:eastAsia="ja-JP"/>
        </w:rPr>
        <w:t>第五课</w:t>
      </w:r>
      <w:r>
        <w:rPr>
          <w:rFonts w:hint="eastAsia" w:ascii="MS Mincho" w:hAnsi="MS Mincho" w:eastAsia="MS Mincho"/>
          <w:color w:val="000000"/>
          <w:sz w:val="18"/>
          <w:szCs w:val="18"/>
          <w:lang w:eastAsia="ja-JP"/>
        </w:rPr>
        <w:t>　引き合い、</w:t>
      </w:r>
      <w:r>
        <w:rPr>
          <w:rFonts w:hint="eastAsia" w:asciiTheme="majorEastAsia" w:hAnsiTheme="majorEastAsia" w:eastAsiaTheme="majorEastAsia"/>
          <w:color w:val="000000"/>
          <w:sz w:val="18"/>
          <w:szCs w:val="18"/>
          <w:lang w:eastAsia="ja-JP"/>
        </w:rPr>
        <w:t>第六课</w:t>
      </w:r>
      <w:r>
        <w:rPr>
          <w:rFonts w:hint="eastAsia" w:ascii="MS Mincho" w:hAnsi="MS Mincho" w:eastAsia="MS Mincho"/>
          <w:color w:val="000000"/>
          <w:sz w:val="18"/>
          <w:szCs w:val="18"/>
          <w:lang w:eastAsia="ja-JP"/>
        </w:rPr>
        <w:t>　オファー</w:t>
      </w:r>
      <w:r>
        <w:rPr>
          <w:rFonts w:hint="eastAsia" w:ascii="MS Mincho" w:hAnsi="MS Mincho" w:eastAsiaTheme="minorEastAsia"/>
          <w:color w:val="000000"/>
          <w:sz w:val="18"/>
          <w:szCs w:val="18"/>
          <w:lang w:eastAsia="ja-JP"/>
        </w:rPr>
        <w:t>、</w:t>
      </w:r>
      <w:r>
        <w:rPr>
          <w:rFonts w:hint="eastAsia" w:asciiTheme="majorEastAsia" w:hAnsiTheme="majorEastAsia" w:eastAsiaTheme="majorEastAsia"/>
          <w:color w:val="000000"/>
          <w:sz w:val="18"/>
          <w:szCs w:val="18"/>
          <w:lang w:eastAsia="ja-JP"/>
        </w:rPr>
        <w:t>第七课</w:t>
      </w:r>
      <w:r>
        <w:rPr>
          <w:rFonts w:hint="eastAsia" w:ascii="MS Mincho" w:hAnsi="MS Mincho" w:eastAsia="MS Mincho"/>
          <w:color w:val="000000"/>
          <w:sz w:val="18"/>
          <w:szCs w:val="18"/>
          <w:lang w:eastAsia="ja-JP"/>
        </w:rPr>
        <w:t>　品質、規格及び数量、</w:t>
      </w:r>
      <w:r>
        <w:rPr>
          <w:rFonts w:hint="eastAsia" w:asciiTheme="majorEastAsia" w:hAnsiTheme="majorEastAsia" w:eastAsiaTheme="majorEastAsia"/>
          <w:color w:val="000000"/>
          <w:sz w:val="18"/>
          <w:szCs w:val="18"/>
          <w:lang w:eastAsia="ja-JP"/>
        </w:rPr>
        <w:t>第八课</w:t>
      </w:r>
      <w:r>
        <w:rPr>
          <w:rFonts w:hint="eastAsia" w:ascii="MS Mincho" w:hAnsi="MS Mincho" w:eastAsia="MS Mincho"/>
          <w:color w:val="000000"/>
          <w:sz w:val="18"/>
          <w:szCs w:val="18"/>
          <w:lang w:eastAsia="ja-JP"/>
        </w:rPr>
        <w:t>　価格交渉、第九課　納期、第十課　決済、第十一課　信用状、第十二課　荷姿。</w:t>
      </w:r>
      <w:r>
        <w:rPr>
          <w:rFonts w:hint="eastAsia" w:ascii="MS Mincho" w:hAnsi="MS Mincho" w:eastAsiaTheme="minorEastAsia"/>
          <w:color w:val="000000"/>
          <w:sz w:val="20"/>
          <w:szCs w:val="20"/>
          <w:lang w:eastAsia="ja-JP"/>
        </w:rPr>
        <w:t xml:space="preserve">  </w:t>
      </w:r>
    </w:p>
    <w:p>
      <w:pPr>
        <w:spacing w:before="156" w:beforeLines="50" w:after="156" w:afterLines="50" w:line="288" w:lineRule="auto"/>
        <w:ind w:firstLine="361" w:firstLineChars="150"/>
        <w:rPr>
          <w:rFonts w:asciiTheme="majorEastAsia" w:hAnsiTheme="majorEastAsia" w:eastAsiaTheme="majorEastAsia"/>
          <w:b/>
          <w:sz w:val="24"/>
          <w:lang w:eastAsia="ja-JP"/>
        </w:rPr>
      </w:pPr>
    </w:p>
    <w:p>
      <w:pPr>
        <w:spacing w:before="156" w:beforeLines="50" w:after="156" w:afterLines="50" w:line="288" w:lineRule="auto"/>
        <w:ind w:firstLine="361" w:firstLineChars="150"/>
        <w:rPr>
          <w:rFonts w:asciiTheme="majorEastAsia" w:hAnsiTheme="majorEastAsia" w:eastAsiaTheme="majorEastAsia"/>
          <w:b/>
          <w:sz w:val="24"/>
        </w:rPr>
      </w:pPr>
      <w:r>
        <w:rPr>
          <w:rFonts w:asciiTheme="majorEastAsia" w:hAnsiTheme="majorEastAsia" w:eastAsiaTheme="majorEastAsia"/>
          <w:b/>
          <w:sz w:val="24"/>
        </w:rPr>
        <w:t>三</w:t>
      </w:r>
      <w:r>
        <w:rPr>
          <w:rFonts w:hint="eastAsia" w:asciiTheme="majorEastAsia" w:hAnsiTheme="majorEastAsia" w:eastAsiaTheme="majorEastAsia"/>
          <w:b/>
          <w:sz w:val="24"/>
        </w:rPr>
        <w:t>、</w:t>
      </w:r>
      <w:r>
        <w:rPr>
          <w:rFonts w:asciiTheme="majorEastAsia" w:hAnsiTheme="majorEastAsia" w:eastAsiaTheme="majorEastAsia"/>
          <w:b/>
          <w:sz w:val="24"/>
        </w:rPr>
        <w:t>选课建议</w:t>
      </w:r>
    </w:p>
    <w:p>
      <w:pPr>
        <w:snapToGrid w:val="0"/>
        <w:spacing w:line="288" w:lineRule="auto"/>
        <w:ind w:firstLine="540" w:firstLineChars="300"/>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本课程为日语专业本科三年级第五学期开设。要求具备一定的日语基础知识和初步的日语表达能力。</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4"/>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6095"/>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gridSpan w:val="2"/>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18" w:type="dxa"/>
            <w:shd w:val="clear" w:color="auto" w:fill="auto"/>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rPr>
                <w:kern w:val="0"/>
                <w:sz w:val="20"/>
                <w:szCs w:val="20"/>
              </w:rPr>
            </w:pPr>
            <w:r>
              <w:rPr>
                <w:rFonts w:hint="eastAsia" w:ascii="仿宋" w:hAnsi="仿宋" w:eastAsia="仿宋" w:cs="宋体"/>
                <w:color w:val="000000"/>
                <w:kern w:val="0"/>
                <w:sz w:val="24"/>
                <w:szCs w:val="24"/>
              </w:rPr>
              <w:t>LO11：</w:t>
            </w:r>
          </w:p>
        </w:tc>
        <w:tc>
          <w:tcPr>
            <w:tcW w:w="6095" w:type="dxa"/>
            <w:shd w:val="clear" w:color="auto" w:fill="auto"/>
            <w:vAlign w:val="center"/>
          </w:tcPr>
          <w:p>
            <w:pPr>
              <w:rPr>
                <w:kern w:val="0"/>
                <w:sz w:val="20"/>
                <w:szCs w:val="20"/>
              </w:rPr>
            </w:pPr>
            <w:r>
              <w:rPr>
                <w:rFonts w:hint="eastAsia"/>
                <w:kern w:val="0"/>
                <w:sz w:val="20"/>
                <w:szCs w:val="20"/>
              </w:rPr>
              <w:t>LO111倾听他人意见、尊重他人观点、分析他人需求。</w:t>
            </w:r>
          </w:p>
        </w:tc>
        <w:tc>
          <w:tcPr>
            <w:tcW w:w="618" w:type="dxa"/>
            <w:shd w:val="clear" w:color="auto" w:fill="auto"/>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rPr>
                <w:rFonts w:ascii="仿宋" w:hAnsi="仿宋" w:eastAsia="仿宋" w:cs="宋体"/>
                <w:color w:val="000000"/>
                <w:kern w:val="0"/>
                <w:sz w:val="24"/>
                <w:szCs w:val="24"/>
              </w:rPr>
            </w:pPr>
          </w:p>
        </w:tc>
        <w:tc>
          <w:tcPr>
            <w:tcW w:w="6095" w:type="dxa"/>
            <w:shd w:val="clear" w:color="auto" w:fill="auto"/>
            <w:vAlign w:val="center"/>
          </w:tcPr>
          <w:p>
            <w:pPr>
              <w:rPr>
                <w:kern w:val="0"/>
                <w:sz w:val="20"/>
                <w:szCs w:val="20"/>
              </w:rPr>
            </w:pPr>
            <w:r>
              <w:rPr>
                <w:rFonts w:hint="eastAsia"/>
                <w:kern w:val="0"/>
                <w:sz w:val="20"/>
                <w:szCs w:val="20"/>
              </w:rPr>
              <w:t>LO112应用书面或口头形式，阐释自己的观点，有效沟通。</w:t>
            </w:r>
          </w:p>
        </w:tc>
        <w:tc>
          <w:tcPr>
            <w:tcW w:w="618" w:type="dxa"/>
            <w:shd w:val="clear" w:color="auto" w:fill="auto"/>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LO21：</w:t>
            </w:r>
          </w:p>
        </w:tc>
        <w:tc>
          <w:tcPr>
            <w:tcW w:w="6095" w:type="dxa"/>
            <w:shd w:val="clear" w:color="auto" w:fill="auto"/>
            <w:vAlign w:val="center"/>
          </w:tcPr>
          <w:p>
            <w:pPr>
              <w:widowControl/>
              <w:rPr>
                <w:kern w:val="0"/>
                <w:sz w:val="20"/>
                <w:szCs w:val="20"/>
              </w:rPr>
            </w:pPr>
            <w:r>
              <w:rPr>
                <w:rFonts w:hint="eastAsia"/>
                <w:kern w:val="0"/>
                <w:sz w:val="20"/>
                <w:szCs w:val="20"/>
              </w:rPr>
              <w:t>LO211能根据需要自己确定学习目标，并设计学习计划。</w:t>
            </w:r>
          </w:p>
        </w:tc>
        <w:tc>
          <w:tcPr>
            <w:tcW w:w="618" w:type="dxa"/>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L0212能搜集、获取达到目标所需要的学习资源，实施学习计划、反思学习计划、持续改进，达到学习目标。</w:t>
            </w:r>
          </w:p>
        </w:tc>
        <w:tc>
          <w:tcPr>
            <w:tcW w:w="618" w:type="dxa"/>
            <w:shd w:val="clear" w:color="auto" w:fill="auto"/>
            <w:vAlign w:val="center"/>
          </w:tcPr>
          <w:p>
            <w:pPr>
              <w:widowControl/>
              <w:jc w:val="center"/>
              <w:rPr>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LO31：</w:t>
            </w:r>
          </w:p>
        </w:tc>
        <w:tc>
          <w:tcPr>
            <w:tcW w:w="6095" w:type="dxa"/>
            <w:shd w:val="clear" w:color="auto" w:fill="auto"/>
            <w:vAlign w:val="center"/>
          </w:tcPr>
          <w:p>
            <w:pPr>
              <w:widowControl/>
              <w:rPr>
                <w:kern w:val="0"/>
                <w:sz w:val="20"/>
                <w:szCs w:val="20"/>
              </w:rPr>
            </w:pPr>
            <w:r>
              <w:rPr>
                <w:rFonts w:hint="eastAsia"/>
                <w:kern w:val="0"/>
                <w:sz w:val="20"/>
                <w:szCs w:val="20"/>
              </w:rPr>
              <w:t>LO311能听懂正常语速下的日语对话，根据语调和重音理解说话者的意图，能听懂语段内容，并提取信息和观点。</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LO312掌握正确的发音，能够使用日语进行交流与表达。</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LO313掌握日语阅读技能，包括细读、泛读、评读等能力，提高分析归纳、推理检验等逻辑思维能力。</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LO314了解日语写作的基础知识，摆脱汉语的思维方式，用地道的日语进行表情达意，具备必要的应用文写作技能。</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LO315了解并掌握翻译技巧，了解不同文体的语言特点和翻译方法，能使用中日两种语言进行各种翻译活动。</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w:t>
            </w:r>
          </w:p>
        </w:tc>
        <w:tc>
          <w:tcPr>
            <w:tcW w:w="6095" w:type="dxa"/>
            <w:shd w:val="clear" w:color="auto" w:fill="auto"/>
            <w:vAlign w:val="center"/>
          </w:tcPr>
          <w:p>
            <w:pPr>
              <w:widowControl/>
              <w:rPr>
                <w:rFonts w:ascii="仿宋" w:hAnsi="仿宋" w:eastAsia="仿宋" w:cs="宋体"/>
                <w:color w:val="000000"/>
                <w:kern w:val="0"/>
                <w:sz w:val="24"/>
                <w:szCs w:val="20"/>
              </w:rPr>
            </w:pPr>
            <w:r>
              <w:rPr>
                <w:rFonts w:hint="eastAsia"/>
                <w:kern w:val="0"/>
                <w:sz w:val="20"/>
                <w:szCs w:val="20"/>
              </w:rPr>
              <w:t>LO321了解语言学的一般理论，以及语言学研究的发展与现状。</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LO322透彻分析日语语素、词汇及语法结构，能对语法现象进行分析归纳与总结。</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LO323了解日本文学史上不同时期的重要作家及其代表作品。</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LO324具备阅读、欣赏、理解日本文学原著的能力，掌握文学批评的基本知识和方法。</w:t>
            </w:r>
          </w:p>
        </w:tc>
        <w:tc>
          <w:tcPr>
            <w:tcW w:w="618" w:type="dxa"/>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w:t>
            </w:r>
          </w:p>
        </w:tc>
        <w:tc>
          <w:tcPr>
            <w:tcW w:w="6095" w:type="dxa"/>
            <w:shd w:val="clear" w:color="auto" w:fill="auto"/>
            <w:vAlign w:val="center"/>
          </w:tcPr>
          <w:p>
            <w:pPr>
              <w:widowControl/>
              <w:rPr>
                <w:kern w:val="0"/>
                <w:sz w:val="20"/>
                <w:szCs w:val="20"/>
              </w:rPr>
            </w:pPr>
            <w:r>
              <w:rPr>
                <w:rFonts w:hint="eastAsia"/>
                <w:kern w:val="0"/>
                <w:sz w:val="20"/>
                <w:szCs w:val="20"/>
              </w:rPr>
              <w:t>LO331了解日本文化、社会和风土人情，认识中日文化差异。</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LO332具有跨文化交际能力，掌握有效的认知、调控、交际策略和跨文化理解能力。</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restart"/>
            <w:shd w:val="clear" w:color="auto" w:fill="auto"/>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p>
        </w:tc>
        <w:tc>
          <w:tcPr>
            <w:tcW w:w="6095" w:type="dxa"/>
            <w:shd w:val="clear" w:color="auto" w:fill="auto"/>
            <w:vAlign w:val="center"/>
          </w:tcPr>
          <w:p>
            <w:pPr>
              <w:widowControl/>
              <w:rPr>
                <w:kern w:val="0"/>
                <w:sz w:val="20"/>
                <w:szCs w:val="20"/>
              </w:rPr>
            </w:pPr>
            <w:r>
              <w:rPr>
                <w:rFonts w:hint="eastAsia"/>
                <w:kern w:val="0"/>
                <w:sz w:val="20"/>
                <w:szCs w:val="20"/>
              </w:rPr>
              <w:t>LO341掌握商务相关的基本理论知识，国家对外贸易方针、政策以及具备国际商务实务操作的技能和素质。</w:t>
            </w:r>
          </w:p>
        </w:tc>
        <w:tc>
          <w:tcPr>
            <w:tcW w:w="618" w:type="dxa"/>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LO342能够使用日语语言处理商务活动中的常规业务，能用中日文双语撰写外贸函电，填写国际贸易的单证，起草外贸合同。</w:t>
            </w:r>
          </w:p>
        </w:tc>
        <w:tc>
          <w:tcPr>
            <w:tcW w:w="618" w:type="dxa"/>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LO41：</w:t>
            </w:r>
          </w:p>
        </w:tc>
        <w:tc>
          <w:tcPr>
            <w:tcW w:w="6095" w:type="dxa"/>
            <w:shd w:val="clear" w:color="auto" w:fill="auto"/>
            <w:vAlign w:val="center"/>
          </w:tcPr>
          <w:p>
            <w:pPr>
              <w:widowControl/>
              <w:rPr>
                <w:kern w:val="0"/>
                <w:sz w:val="20"/>
                <w:szCs w:val="20"/>
              </w:rPr>
            </w:pPr>
            <w:r>
              <w:rPr>
                <w:rFonts w:hint="eastAsia"/>
                <w:kern w:val="0"/>
                <w:sz w:val="20"/>
                <w:szCs w:val="20"/>
              </w:rPr>
              <w:t>L0411遵纪守法：遵守校纪校规，具备法律意识。</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L0412 诚实守信：为人诚实，信守承诺，尽职尽责。</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LO413爱岗敬业：了解与专业相关的法律法规，充分认识本专业就业岗位在社会经济中的作用和地位，在学习和社会实践中遵守职业规范，具备职业道德操守。</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LO414身心健康，能承受学习和生活中的压力。</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LO51：</w:t>
            </w:r>
          </w:p>
        </w:tc>
        <w:tc>
          <w:tcPr>
            <w:tcW w:w="6095" w:type="dxa"/>
            <w:shd w:val="clear" w:color="auto" w:fill="auto"/>
            <w:vAlign w:val="center"/>
          </w:tcPr>
          <w:p>
            <w:pPr>
              <w:widowControl/>
              <w:rPr>
                <w:kern w:val="0"/>
                <w:sz w:val="20"/>
                <w:szCs w:val="20"/>
              </w:rPr>
            </w:pPr>
            <w:r>
              <w:rPr>
                <w:rFonts w:hint="eastAsia"/>
                <w:kern w:val="0"/>
                <w:sz w:val="20"/>
                <w:szCs w:val="20"/>
              </w:rPr>
              <w:t>L0511在集体活动中能主动担任自己的角色，与其他成员密切合作，共同完成任务。</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L0512 有质疑精神，能有逻辑的分析与批判。</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L0513 能用创新的方法或者多种方法解决复杂问题或真实问题。</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L0514了解行业前沿知识技术。</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LO61：</w:t>
            </w:r>
          </w:p>
        </w:tc>
        <w:tc>
          <w:tcPr>
            <w:tcW w:w="6095" w:type="dxa"/>
            <w:shd w:val="clear" w:color="auto" w:fill="auto"/>
            <w:vAlign w:val="center"/>
          </w:tcPr>
          <w:p>
            <w:pPr>
              <w:widowControl/>
              <w:rPr>
                <w:kern w:val="0"/>
                <w:sz w:val="20"/>
                <w:szCs w:val="20"/>
              </w:rPr>
            </w:pPr>
            <w:r>
              <w:rPr>
                <w:rFonts w:hint="eastAsia"/>
                <w:kern w:val="0"/>
                <w:sz w:val="20"/>
                <w:szCs w:val="20"/>
              </w:rPr>
              <w:t>LO611能够根据需要进行专业文献检索。</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LO612能够使用适合的工具来搜集信息，并对信息加以分析、鉴别、判断与整合。</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LO613熟练使用计算机，掌握常用办公软件。</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LO71：</w:t>
            </w:r>
          </w:p>
        </w:tc>
        <w:tc>
          <w:tcPr>
            <w:tcW w:w="6095" w:type="dxa"/>
            <w:shd w:val="clear" w:color="auto" w:fill="auto"/>
            <w:vAlign w:val="center"/>
          </w:tcPr>
          <w:p>
            <w:pPr>
              <w:widowControl/>
              <w:rPr>
                <w:kern w:val="0"/>
                <w:sz w:val="20"/>
                <w:szCs w:val="20"/>
              </w:rPr>
            </w:pPr>
            <w:r>
              <w:rPr>
                <w:rFonts w:hint="eastAsia"/>
                <w:kern w:val="0"/>
                <w:sz w:val="20"/>
                <w:szCs w:val="20"/>
              </w:rPr>
              <w:t>LO711爱党爱国：了解祖国的优秀传统文化和革命历史，构建爱党爱国的理想信念。</w:t>
            </w:r>
          </w:p>
        </w:tc>
        <w:tc>
          <w:tcPr>
            <w:tcW w:w="618" w:type="dxa"/>
            <w:shd w:val="clear" w:color="auto" w:fill="auto"/>
            <w:vAlign w:val="center"/>
          </w:tcPr>
          <w:p>
            <w:pPr>
              <w:widowControl/>
              <w:jc w:val="center"/>
              <w:rPr>
                <w:rFonts w:ascii="仿宋" w:hAnsi="仿宋" w:eastAsia="仿宋" w:cs="宋体"/>
                <w:color w:val="000000"/>
                <w:kern w:val="0"/>
                <w:sz w:val="24"/>
                <w:szCs w:val="20"/>
              </w:rPr>
            </w:pPr>
            <w:r>
              <w:rPr>
                <w:rFonts w:hint="eastAsia" w:ascii="仿宋" w:hAnsi="仿宋" w:eastAsia="仿宋" w:cs="宋体"/>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LO712助人为乐：富于爱心，懂得感恩，具备助人为乐的品质。</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LO713奉献社会：具有服务企业、服务社会的意愿和行为能力。</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LO714爱护环境：具有爱护环境的意识和与自然和谐相处的环保理念。</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restart"/>
            <w:shd w:val="clear" w:color="auto" w:fill="auto"/>
            <w:vAlign w:val="center"/>
          </w:tcPr>
          <w:p>
            <w:pPr>
              <w:widowControl/>
              <w:rPr>
                <w:kern w:val="0"/>
                <w:sz w:val="20"/>
                <w:szCs w:val="20"/>
              </w:rPr>
            </w:pPr>
            <w:r>
              <w:rPr>
                <w:rFonts w:hint="eastAsia" w:ascii="仿宋" w:hAnsi="仿宋" w:eastAsia="仿宋" w:cs="宋体"/>
                <w:color w:val="000000"/>
                <w:kern w:val="0"/>
                <w:sz w:val="24"/>
                <w:szCs w:val="24"/>
              </w:rPr>
              <w:t>LO81：</w:t>
            </w:r>
          </w:p>
        </w:tc>
        <w:tc>
          <w:tcPr>
            <w:tcW w:w="6095" w:type="dxa"/>
            <w:shd w:val="clear" w:color="auto" w:fill="auto"/>
            <w:vAlign w:val="center"/>
          </w:tcPr>
          <w:p>
            <w:pPr>
              <w:widowControl/>
              <w:rPr>
                <w:kern w:val="0"/>
                <w:sz w:val="20"/>
                <w:szCs w:val="20"/>
              </w:rPr>
            </w:pPr>
            <w:r>
              <w:rPr>
                <w:rFonts w:hint="eastAsia"/>
                <w:kern w:val="0"/>
                <w:sz w:val="20"/>
                <w:szCs w:val="20"/>
              </w:rPr>
              <w:t>LO811具备外语表达沟通能力，达到本专业的要求。</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LO812理解其他国家历史文化，有跨文化交流能力。</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17" w:type="dxa"/>
            <w:vMerge w:val="continue"/>
            <w:shd w:val="clear" w:color="auto" w:fill="auto"/>
            <w:vAlign w:val="center"/>
          </w:tcPr>
          <w:p>
            <w:pPr>
              <w:widowControl/>
              <w:rPr>
                <w:rFonts w:ascii="仿宋" w:hAnsi="仿宋" w:eastAsia="仿宋" w:cs="宋体"/>
                <w:color w:val="000000"/>
                <w:kern w:val="0"/>
                <w:sz w:val="24"/>
                <w:szCs w:val="24"/>
              </w:rPr>
            </w:pPr>
          </w:p>
        </w:tc>
        <w:tc>
          <w:tcPr>
            <w:tcW w:w="6095" w:type="dxa"/>
            <w:shd w:val="clear" w:color="auto" w:fill="auto"/>
            <w:vAlign w:val="center"/>
          </w:tcPr>
          <w:p>
            <w:pPr>
              <w:widowControl/>
              <w:rPr>
                <w:kern w:val="0"/>
                <w:sz w:val="20"/>
                <w:szCs w:val="20"/>
              </w:rPr>
            </w:pPr>
            <w:r>
              <w:rPr>
                <w:rFonts w:hint="eastAsia"/>
                <w:kern w:val="0"/>
                <w:sz w:val="20"/>
                <w:szCs w:val="20"/>
              </w:rPr>
              <w:t>LO813有国际竞争与合作意识。</w:t>
            </w:r>
          </w:p>
        </w:tc>
        <w:tc>
          <w:tcPr>
            <w:tcW w:w="618" w:type="dxa"/>
            <w:shd w:val="clear" w:color="auto" w:fill="auto"/>
            <w:vAlign w:val="center"/>
          </w:tcPr>
          <w:p>
            <w:pPr>
              <w:widowControl/>
              <w:jc w:val="center"/>
              <w:rPr>
                <w:rFonts w:ascii="仿宋" w:hAnsi="仿宋" w:eastAsia="仿宋" w:cs="宋体"/>
                <w:color w:val="000000"/>
                <w:kern w:val="0"/>
                <w:sz w:val="24"/>
                <w:szCs w:val="20"/>
              </w:rPr>
            </w:pPr>
          </w:p>
        </w:tc>
      </w:tr>
    </w:tbl>
    <w:p>
      <w:pPr>
        <w:ind w:firstLine="420" w:firstLineChars="200"/>
      </w:pPr>
    </w:p>
    <w:p>
      <w:pPr>
        <w:ind w:firstLine="420" w:firstLineChars="200"/>
      </w:pPr>
      <w:r>
        <w:rPr>
          <w:rFonts w:hint="eastAsia"/>
        </w:rPr>
        <w:t>备注：LO=</w:t>
      </w:r>
      <w:r>
        <w:t>learning outcomes</w:t>
      </w:r>
      <w:r>
        <w:rPr>
          <w:rFonts w:hint="eastAsia"/>
        </w:rPr>
        <w:t>（学习成果）</w:t>
      </w:r>
    </w:p>
    <w:p>
      <w:pPr>
        <w:spacing w:before="156" w:beforeLines="50" w:after="156" w:afterLines="50" w:line="288" w:lineRule="auto"/>
        <w:ind w:firstLine="315" w:firstLineChars="150"/>
      </w:pPr>
    </w:p>
    <w:p>
      <w:pPr>
        <w:spacing w:before="156" w:beforeLines="50" w:after="156" w:afterLines="50" w:line="288" w:lineRule="auto"/>
        <w:ind w:firstLine="361" w:firstLineChars="150"/>
        <w:rPr>
          <w:rFonts w:asciiTheme="majorEastAsia" w:hAnsiTheme="majorEastAsia" w:eastAsiaTheme="majorEastAsia"/>
          <w:b/>
          <w:sz w:val="24"/>
        </w:rPr>
      </w:pPr>
      <w:r>
        <w:rPr>
          <w:rFonts w:hint="eastAsia" w:asciiTheme="majorEastAsia" w:hAnsiTheme="majorEastAsia" w:eastAsiaTheme="majorEastAsia"/>
          <w:b/>
          <w:sz w:val="24"/>
        </w:rPr>
        <w:t>五、</w:t>
      </w:r>
      <w:r>
        <w:rPr>
          <w:rFonts w:asciiTheme="majorEastAsia" w:hAnsiTheme="majorEastAsia" w:eastAsiaTheme="majorEastAsia"/>
          <w:b/>
          <w:sz w:val="24"/>
        </w:rPr>
        <w:t>课程</w:t>
      </w:r>
      <w:r>
        <w:rPr>
          <w:rFonts w:hint="eastAsia" w:asciiTheme="majorEastAsia" w:hAnsiTheme="majorEastAsia" w:eastAsiaTheme="majorEastAsia"/>
          <w:b/>
          <w:sz w:val="24"/>
        </w:rPr>
        <w:t>目标/课程预期学习成果</w:t>
      </w:r>
    </w:p>
    <w:tbl>
      <w:tblPr>
        <w:tblStyle w:val="4"/>
        <w:tblpPr w:leftFromText="180" w:rightFromText="180" w:vertAnchor="text" w:horzAnchor="page" w:tblpX="1845" w:tblpY="152"/>
        <w:tblOverlap w:val="never"/>
        <w:tblW w:w="93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1381"/>
        <w:gridCol w:w="2901"/>
        <w:gridCol w:w="2583"/>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947"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381"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0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583"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947"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w:t>
            </w:r>
          </w:p>
        </w:tc>
        <w:tc>
          <w:tcPr>
            <w:tcW w:w="1381" w:type="dxa"/>
            <w:shd w:val="clear" w:color="auto" w:fill="auto"/>
            <w:vAlign w:val="center"/>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LO211</w:t>
            </w:r>
          </w:p>
        </w:tc>
        <w:tc>
          <w:tcPr>
            <w:tcW w:w="2901"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能够明确所学各单元中不同题材文章的要点，通过网络等途径收集、获取有助于本课程学习的相关资料，了解与国际商务谈判所涉及常识。能在课前根据要求制定学习计划并加以实施。每周课后反思、确认学习计划完成情况。</w:t>
            </w:r>
          </w:p>
        </w:tc>
        <w:tc>
          <w:tcPr>
            <w:tcW w:w="2583"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1.帮助学生课前确认所指定的单元主题，收集相关资料，要求学生积极提问并按照学习计划课后进行拓展性学习。</w:t>
            </w:r>
          </w:p>
        </w:tc>
        <w:tc>
          <w:tcPr>
            <w:tcW w:w="1499"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通过课堂问答环节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47" w:type="dxa"/>
            <w:vMerge w:val="restart"/>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2</w:t>
            </w:r>
          </w:p>
        </w:tc>
        <w:tc>
          <w:tcPr>
            <w:tcW w:w="1381" w:type="dxa"/>
            <w:vMerge w:val="restart"/>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LO34</w:t>
            </w:r>
          </w:p>
        </w:tc>
        <w:tc>
          <w:tcPr>
            <w:tcW w:w="2901"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能够阅读与国际商务谈判相关的各类日语文章，逐句口译成汉语，归纳每个段落的主要内容以及整个单元的要旨。</w:t>
            </w:r>
          </w:p>
        </w:tc>
        <w:tc>
          <w:tcPr>
            <w:tcW w:w="2583"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1.带领学生大声朗读，注意语音语调。</w:t>
            </w:r>
          </w:p>
          <w:p>
            <w:pPr>
              <w:snapToGrid w:val="0"/>
              <w:spacing w:line="288"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2.对难懂句子或表达形式进行详尽讲解。</w:t>
            </w:r>
          </w:p>
        </w:tc>
        <w:tc>
          <w:tcPr>
            <w:tcW w:w="1499"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通过课堂问答环节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47" w:type="dxa"/>
            <w:vMerge w:val="continue"/>
            <w:shd w:val="clear" w:color="auto" w:fill="auto"/>
          </w:tcPr>
          <w:p>
            <w:pPr>
              <w:rPr>
                <w:rFonts w:asciiTheme="majorEastAsia" w:hAnsiTheme="majorEastAsia" w:eastAsiaTheme="majorEastAsia"/>
                <w:color w:val="000000"/>
                <w:sz w:val="18"/>
                <w:szCs w:val="18"/>
              </w:rPr>
            </w:pPr>
          </w:p>
        </w:tc>
        <w:tc>
          <w:tcPr>
            <w:tcW w:w="1381" w:type="dxa"/>
            <w:vMerge w:val="continue"/>
            <w:shd w:val="clear" w:color="auto" w:fill="auto"/>
          </w:tcPr>
          <w:p>
            <w:pPr>
              <w:rPr>
                <w:rFonts w:asciiTheme="majorEastAsia" w:hAnsiTheme="majorEastAsia" w:eastAsiaTheme="majorEastAsia"/>
                <w:color w:val="000000"/>
                <w:sz w:val="18"/>
                <w:szCs w:val="18"/>
              </w:rPr>
            </w:pPr>
          </w:p>
        </w:tc>
        <w:tc>
          <w:tcPr>
            <w:tcW w:w="2901"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通读朗读、会话练习，做到发音正确，停顿恰当。根据具体内容，二</w:t>
            </w:r>
            <w:r>
              <w:rPr>
                <w:rFonts w:hint="eastAsia" w:ascii="宋体" w:hAnsi="宋体"/>
                <w:color w:val="000000"/>
                <w:sz w:val="18"/>
                <w:szCs w:val="18"/>
              </w:rPr>
              <w:t>～</w:t>
            </w:r>
            <w:r>
              <w:rPr>
                <w:rFonts w:hint="eastAsia" w:asciiTheme="majorEastAsia" w:hAnsiTheme="majorEastAsia" w:eastAsiaTheme="majorEastAsia"/>
                <w:color w:val="000000"/>
                <w:sz w:val="18"/>
                <w:szCs w:val="18"/>
              </w:rPr>
              <w:t>三人一组扮演不同角色练习对话，借此提高表达能力。</w:t>
            </w:r>
          </w:p>
        </w:tc>
        <w:tc>
          <w:tcPr>
            <w:tcW w:w="2583" w:type="dxa"/>
            <w:shd w:val="clear" w:color="auto" w:fill="auto"/>
          </w:tcPr>
          <w:p>
            <w:pPr>
              <w:snapToGrid w:val="0"/>
              <w:spacing w:line="288"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纠正发音，例举具体句型进行造句，加深对特定语境中各类表达形式的理解。</w:t>
            </w:r>
          </w:p>
        </w:tc>
        <w:tc>
          <w:tcPr>
            <w:tcW w:w="1499"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通过课堂问答环节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47" w:type="dxa"/>
            <w:vMerge w:val="continue"/>
            <w:shd w:val="clear" w:color="auto" w:fill="auto"/>
          </w:tcPr>
          <w:p>
            <w:pPr>
              <w:rPr>
                <w:rFonts w:asciiTheme="majorEastAsia" w:hAnsiTheme="majorEastAsia" w:eastAsiaTheme="majorEastAsia"/>
                <w:color w:val="000000"/>
                <w:sz w:val="18"/>
                <w:szCs w:val="18"/>
              </w:rPr>
            </w:pPr>
          </w:p>
        </w:tc>
        <w:tc>
          <w:tcPr>
            <w:tcW w:w="1381" w:type="dxa"/>
            <w:vMerge w:val="continue"/>
            <w:shd w:val="clear" w:color="auto" w:fill="auto"/>
          </w:tcPr>
          <w:p>
            <w:pPr>
              <w:rPr>
                <w:rFonts w:asciiTheme="majorEastAsia" w:hAnsiTheme="majorEastAsia" w:eastAsiaTheme="majorEastAsia"/>
                <w:color w:val="000000"/>
                <w:sz w:val="18"/>
                <w:szCs w:val="18"/>
              </w:rPr>
            </w:pPr>
          </w:p>
        </w:tc>
        <w:tc>
          <w:tcPr>
            <w:tcW w:w="2901"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围绕不同论述主题，提高分析归纳、推理检验等逻辑思维能力。对所涉及的主题加深自己的认识。</w:t>
            </w:r>
          </w:p>
        </w:tc>
        <w:tc>
          <w:tcPr>
            <w:tcW w:w="2583" w:type="dxa"/>
            <w:shd w:val="clear" w:color="auto" w:fill="auto"/>
          </w:tcPr>
          <w:p>
            <w:pPr>
              <w:snapToGrid w:val="0"/>
              <w:spacing w:line="288"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要求学生用日语进行问答，当即给予评判、纠正，演示。</w:t>
            </w:r>
          </w:p>
        </w:tc>
        <w:tc>
          <w:tcPr>
            <w:tcW w:w="1499"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通过课堂问答环节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47" w:type="dxa"/>
            <w:vMerge w:val="restart"/>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3</w:t>
            </w:r>
          </w:p>
        </w:tc>
        <w:tc>
          <w:tcPr>
            <w:tcW w:w="1381" w:type="dxa"/>
            <w:vMerge w:val="restart"/>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LO711</w:t>
            </w:r>
          </w:p>
        </w:tc>
        <w:tc>
          <w:tcPr>
            <w:tcW w:w="2901"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活用所学的词语、句型、表达形式，结合本课程内容逐步学会用日语表达国际商务谈判相关事宜。</w:t>
            </w:r>
          </w:p>
        </w:tc>
        <w:tc>
          <w:tcPr>
            <w:tcW w:w="2583" w:type="dxa"/>
            <w:shd w:val="clear" w:color="auto" w:fill="auto"/>
          </w:tcPr>
          <w:p>
            <w:pPr>
              <w:snapToGrid w:val="0"/>
              <w:spacing w:line="288"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根据具体情况，要求学生背诵经典语句、段落。</w:t>
            </w:r>
          </w:p>
        </w:tc>
        <w:tc>
          <w:tcPr>
            <w:tcW w:w="1499"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通过课堂问答环节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47" w:type="dxa"/>
            <w:vMerge w:val="continue"/>
            <w:shd w:val="clear" w:color="auto" w:fill="auto"/>
          </w:tcPr>
          <w:p>
            <w:pPr>
              <w:rPr>
                <w:rFonts w:asciiTheme="majorEastAsia" w:hAnsiTheme="majorEastAsia" w:eastAsiaTheme="majorEastAsia"/>
                <w:color w:val="000000"/>
                <w:sz w:val="18"/>
                <w:szCs w:val="18"/>
              </w:rPr>
            </w:pPr>
          </w:p>
        </w:tc>
        <w:tc>
          <w:tcPr>
            <w:tcW w:w="1381" w:type="dxa"/>
            <w:vMerge w:val="continue"/>
            <w:shd w:val="clear" w:color="auto" w:fill="auto"/>
          </w:tcPr>
          <w:p>
            <w:pPr>
              <w:rPr>
                <w:rFonts w:asciiTheme="majorEastAsia" w:hAnsiTheme="majorEastAsia" w:eastAsiaTheme="majorEastAsia"/>
                <w:color w:val="000000"/>
                <w:sz w:val="18"/>
                <w:szCs w:val="18"/>
              </w:rPr>
            </w:pPr>
          </w:p>
        </w:tc>
        <w:tc>
          <w:tcPr>
            <w:tcW w:w="2901" w:type="dxa"/>
            <w:shd w:val="clear" w:color="auto" w:fill="auto"/>
          </w:tcPr>
          <w:p>
            <w:pP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通过本课程学习了解国际商务谈判对发展经济所起的重要作用。培养新一代知识面广、应用能力强的人才。</w:t>
            </w:r>
          </w:p>
        </w:tc>
        <w:tc>
          <w:tcPr>
            <w:tcW w:w="2583" w:type="dxa"/>
            <w:shd w:val="clear" w:color="auto" w:fill="auto"/>
          </w:tcPr>
          <w:p>
            <w:pPr>
              <w:snapToGrid w:val="0"/>
              <w:spacing w:line="288" w:lineRule="auto"/>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鼓励学生根据不同题材主动收集相关资料，拓展话题的深度。</w:t>
            </w:r>
          </w:p>
        </w:tc>
        <w:tc>
          <w:tcPr>
            <w:tcW w:w="1499" w:type="dxa"/>
            <w:shd w:val="clear" w:color="auto" w:fill="auto"/>
          </w:tcPr>
          <w:p>
            <w:pPr>
              <w:snapToGrid w:val="0"/>
              <w:spacing w:line="288" w:lineRule="auto"/>
              <w:jc w:val="center"/>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通过课堂问答环节</w:t>
            </w:r>
          </w:p>
        </w:tc>
      </w:tr>
    </w:tbl>
    <w:p>
      <w:pPr>
        <w:snapToGrid w:val="0"/>
        <w:spacing w:line="288" w:lineRule="auto"/>
        <w:ind w:left="420" w:leftChars="200"/>
        <w:rPr>
          <w:rFonts w:asciiTheme="majorEastAsia" w:hAnsiTheme="majorEastAsia" w:eastAsiaTheme="majorEastAsia"/>
          <w:color w:val="000000"/>
          <w:sz w:val="18"/>
          <w:szCs w:val="18"/>
        </w:rPr>
      </w:pPr>
    </w:p>
    <w:p>
      <w:pPr>
        <w:snapToGrid w:val="0"/>
        <w:spacing w:line="288" w:lineRule="auto"/>
        <w:ind w:left="420" w:leftChars="200"/>
        <w:rPr>
          <w:rFonts w:asciiTheme="majorEastAsia" w:hAnsiTheme="majorEastAsia" w:eastAsiaTheme="majorEastAsia"/>
          <w:color w:val="000000"/>
          <w:sz w:val="18"/>
          <w:szCs w:val="18"/>
        </w:rPr>
      </w:pPr>
    </w:p>
    <w:p>
      <w:pPr>
        <w:spacing w:before="156" w:beforeLines="50" w:after="156" w:afterLines="50" w:line="288" w:lineRule="auto"/>
        <w:ind w:firstLine="236" w:firstLineChars="98"/>
        <w:rPr>
          <w:rFonts w:asciiTheme="majorEastAsia" w:hAnsiTheme="majorEastAsia" w:eastAsiaTheme="majorEastAsia"/>
          <w:b/>
          <w:sz w:val="24"/>
        </w:rPr>
      </w:pPr>
      <w:r>
        <w:rPr>
          <w:rFonts w:hint="eastAsia" w:asciiTheme="majorEastAsia" w:hAnsiTheme="majorEastAsia" w:eastAsiaTheme="majorEastAsia"/>
          <w:b/>
          <w:sz w:val="24"/>
        </w:rPr>
        <w:t>六、</w:t>
      </w:r>
      <w:r>
        <w:rPr>
          <w:rFonts w:asciiTheme="majorEastAsia" w:hAnsiTheme="majorEastAsia" w:eastAsiaTheme="majorEastAsia"/>
          <w:b/>
          <w:sz w:val="24"/>
        </w:rPr>
        <w:t>课程内容</w:t>
      </w:r>
    </w:p>
    <w:p>
      <w:pPr>
        <w:ind w:firstLine="360" w:firstLineChars="200"/>
        <w:rPr>
          <w:rFonts w:asciiTheme="majorEastAsia" w:hAnsiTheme="majorEastAsia" w:eastAsiaTheme="majorEastAsia"/>
          <w:color w:val="000000"/>
          <w:sz w:val="18"/>
          <w:szCs w:val="18"/>
        </w:rPr>
      </w:pPr>
      <w:r>
        <w:rPr>
          <w:rFonts w:hint="eastAsia" w:asciiTheme="majorEastAsia" w:hAnsiTheme="majorEastAsia" w:eastAsiaTheme="majorEastAsia"/>
          <w:color w:val="000000"/>
          <w:sz w:val="18"/>
          <w:szCs w:val="18"/>
        </w:rPr>
        <w:t>本课程共计32个学时，周课时为2学时，其中包括分析讲解、朗读、归纳翻译、讨论等项内容。根据本教材所含内容量及编著者建议按每四周三课的教学进度展开教学。本学期内容大致分为三个单元：第一至第四课（进行预约、走访企业、宣传介绍、接待为主要内容国际商务基础知识篇）、第五至第八课（以询盘、还盘、品质、规格、价格交涉为主要内容的实际应用篇）、第九至第十二课（以交货期、结算、信用证、产品包装为主要内容的专业知识篇）。每次教学具体可分为：分析讲解、朗读、归纳翻译、讨论拓展这四个环节。</w:t>
      </w:r>
    </w:p>
    <w:p>
      <w:pPr>
        <w:snapToGrid w:val="0"/>
        <w:spacing w:line="288" w:lineRule="auto"/>
        <w:ind w:right="26"/>
        <w:rPr>
          <w:rFonts w:asciiTheme="majorEastAsia" w:hAnsiTheme="majorEastAsia" w:eastAsiaTheme="majorEastAsia"/>
          <w:sz w:val="18"/>
          <w:szCs w:val="18"/>
        </w:rPr>
      </w:pPr>
    </w:p>
    <w:tbl>
      <w:tblPr>
        <w:tblStyle w:val="4"/>
        <w:tblW w:w="90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97"/>
        <w:gridCol w:w="2539"/>
        <w:gridCol w:w="3282"/>
        <w:gridCol w:w="70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单元</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Theme="majorEastAsia" w:hAnsiTheme="majorEastAsia" w:eastAsiaTheme="majorEastAsia"/>
                <w:sz w:val="18"/>
                <w:szCs w:val="18"/>
              </w:rPr>
            </w:pPr>
            <w:r>
              <w:rPr>
                <w:rFonts w:hint="eastAsia" w:asciiTheme="majorEastAsia" w:hAnsiTheme="majorEastAsia" w:eastAsiaTheme="majorEastAsia"/>
                <w:sz w:val="18"/>
                <w:szCs w:val="18"/>
              </w:rPr>
              <w:t>内容构成</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知识能力要求</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教学重难点</w:t>
            </w:r>
          </w:p>
        </w:tc>
        <w:tc>
          <w:tcPr>
            <w:tcW w:w="709" w:type="dxa"/>
            <w:tcBorders>
              <w:top w:val="single" w:color="auto" w:sz="4" w:space="0"/>
              <w:left w:val="single" w:color="auto" w:sz="4" w:space="0"/>
              <w:right w:val="single" w:color="auto" w:sz="4" w:space="0"/>
            </w:tcBorders>
            <w:shd w:val="clear" w:color="auto" w:fill="auto"/>
            <w:vAlign w:val="center"/>
          </w:tcPr>
          <w:p>
            <w:pPr>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理论课时</w:t>
            </w:r>
          </w:p>
        </w:tc>
        <w:tc>
          <w:tcPr>
            <w:tcW w:w="663" w:type="dxa"/>
            <w:tcBorders>
              <w:top w:val="single" w:color="auto" w:sz="4" w:space="0"/>
              <w:left w:val="single" w:color="auto" w:sz="4" w:space="0"/>
              <w:right w:val="single" w:color="auto" w:sz="4" w:space="0"/>
            </w:tcBorders>
            <w:shd w:val="clear" w:color="auto" w:fill="auto"/>
            <w:vAlign w:val="center"/>
          </w:tcPr>
          <w:p>
            <w:pPr>
              <w:snapToGrid w:val="0"/>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实践课时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exac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1</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90" w:firstLineChars="50"/>
              <w:rPr>
                <w:rFonts w:asciiTheme="majorEastAsia" w:hAnsiTheme="majorEastAsia" w:eastAsiaTheme="majorEastAsia"/>
                <w:sz w:val="18"/>
                <w:szCs w:val="18"/>
              </w:rPr>
            </w:pPr>
            <w:r>
              <w:rPr>
                <w:rFonts w:hint="eastAsia" w:asciiTheme="majorEastAsia" w:hAnsiTheme="majorEastAsia" w:eastAsiaTheme="majorEastAsia"/>
                <w:sz w:val="18"/>
                <w:szCs w:val="18"/>
              </w:rPr>
              <w:t>基础知识</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ajorEastAsia" w:hAnsiTheme="majorEastAsia" w:eastAsiaTheme="majorEastAsia"/>
                <w:sz w:val="18"/>
                <w:szCs w:val="18"/>
              </w:rPr>
            </w:pPr>
            <w:r>
              <w:rPr>
                <w:rFonts w:hint="eastAsia" w:asciiTheme="majorEastAsia" w:hAnsiTheme="majorEastAsia" w:eastAsiaTheme="majorEastAsia"/>
                <w:sz w:val="18"/>
                <w:szCs w:val="18"/>
              </w:rPr>
              <w:t>理解国际商务谈判相关日语文章中所涉及的专业基础知识，掌握相关的专业词汇及各类概念。</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ajorEastAsia" w:hAnsiTheme="majorEastAsia" w:eastAsiaTheme="majorEastAsia"/>
                <w:sz w:val="18"/>
                <w:szCs w:val="18"/>
              </w:rPr>
            </w:pPr>
            <w:r>
              <w:rPr>
                <w:rFonts w:hint="eastAsia" w:asciiTheme="majorEastAsia" w:hAnsiTheme="majorEastAsia" w:eastAsiaTheme="major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tc>
        <w:tc>
          <w:tcPr>
            <w:tcW w:w="66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exac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90" w:firstLineChars="50"/>
              <w:rPr>
                <w:rFonts w:asciiTheme="majorEastAsia" w:hAnsiTheme="majorEastAsia" w:eastAsiaTheme="majorEastAsia"/>
                <w:sz w:val="18"/>
                <w:szCs w:val="18"/>
              </w:rPr>
            </w:pPr>
            <w:r>
              <w:rPr>
                <w:rFonts w:hint="eastAsia" w:asciiTheme="majorEastAsia" w:hAnsiTheme="majorEastAsia" w:eastAsiaTheme="majorEastAsia"/>
                <w:sz w:val="18"/>
                <w:szCs w:val="18"/>
              </w:rPr>
              <w:t>实际应用</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ajorEastAsia" w:hAnsiTheme="majorEastAsia" w:eastAsiaTheme="majorEastAsia"/>
                <w:sz w:val="18"/>
                <w:szCs w:val="18"/>
              </w:rPr>
            </w:pPr>
            <w:r>
              <w:rPr>
                <w:rFonts w:hint="eastAsia" w:asciiTheme="majorEastAsia" w:hAnsiTheme="majorEastAsia" w:eastAsiaTheme="majorEastAsia"/>
                <w:sz w:val="18"/>
                <w:szCs w:val="18"/>
              </w:rPr>
              <w:t>理解国际商务谈判相关日语文章中所涉及的专业基础知识，掌握相关的专业词汇及各类概念。</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ajorEastAsia" w:hAnsiTheme="majorEastAsia" w:eastAsiaTheme="majorEastAsia"/>
                <w:sz w:val="18"/>
                <w:szCs w:val="18"/>
              </w:rPr>
            </w:pPr>
            <w:r>
              <w:rPr>
                <w:rFonts w:hint="eastAsia" w:asciiTheme="majorEastAsia" w:hAnsiTheme="majorEastAsia" w:eastAsiaTheme="major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tc>
        <w:tc>
          <w:tcPr>
            <w:tcW w:w="66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exact"/>
        </w:trPr>
        <w:tc>
          <w:tcPr>
            <w:tcW w:w="53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3</w:t>
            </w:r>
          </w:p>
          <w:p>
            <w:pPr>
              <w:snapToGrid w:val="0"/>
              <w:spacing w:before="156" w:beforeLines="50" w:after="156" w:afterLines="50" w:line="288" w:lineRule="auto"/>
              <w:jc w:val="center"/>
              <w:rPr>
                <w:rFonts w:asciiTheme="majorEastAsia" w:hAnsiTheme="majorEastAsia" w:eastAsiaTheme="majorEastAsia"/>
                <w:sz w:val="18"/>
                <w:szCs w:val="18"/>
              </w:rPr>
            </w:pPr>
          </w:p>
          <w:p>
            <w:pPr>
              <w:snapToGrid w:val="0"/>
              <w:spacing w:before="156" w:beforeLines="50" w:after="156" w:afterLines="50" w:line="288" w:lineRule="auto"/>
              <w:jc w:val="center"/>
              <w:rPr>
                <w:rFonts w:asciiTheme="majorEastAsia" w:hAnsiTheme="majorEastAsia" w:eastAsiaTheme="majorEastAsia"/>
                <w:sz w:val="18"/>
                <w:szCs w:val="18"/>
              </w:rPr>
            </w:pP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ind w:firstLine="90" w:firstLineChars="50"/>
              <w:rPr>
                <w:rFonts w:asciiTheme="majorEastAsia" w:hAnsiTheme="majorEastAsia" w:eastAsiaTheme="majorEastAsia"/>
                <w:sz w:val="18"/>
                <w:szCs w:val="18"/>
              </w:rPr>
            </w:pPr>
            <w:r>
              <w:rPr>
                <w:rFonts w:hint="eastAsia" w:asciiTheme="majorEastAsia" w:hAnsiTheme="majorEastAsia" w:eastAsiaTheme="majorEastAsia"/>
                <w:sz w:val="18"/>
                <w:szCs w:val="18"/>
              </w:rPr>
              <w:t>提高拓展</w:t>
            </w:r>
          </w:p>
        </w:tc>
        <w:tc>
          <w:tcPr>
            <w:tcW w:w="2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ajorEastAsia" w:hAnsiTheme="majorEastAsia" w:eastAsiaTheme="majorEastAsia"/>
                <w:sz w:val="18"/>
                <w:szCs w:val="18"/>
              </w:rPr>
            </w:pPr>
            <w:r>
              <w:rPr>
                <w:rFonts w:hint="eastAsia" w:asciiTheme="majorEastAsia" w:hAnsiTheme="majorEastAsia" w:eastAsiaTheme="majorEastAsia"/>
                <w:sz w:val="18"/>
                <w:szCs w:val="18"/>
              </w:rPr>
              <w:t>理解国际商务谈判相关日语文章中所涉及的专业基础知识，掌握相关的专业词汇及各类概念。</w:t>
            </w:r>
          </w:p>
        </w:tc>
        <w:tc>
          <w:tcPr>
            <w:tcW w:w="3282"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Theme="majorEastAsia" w:hAnsiTheme="majorEastAsia" w:eastAsiaTheme="majorEastAsia"/>
                <w:sz w:val="18"/>
                <w:szCs w:val="18"/>
              </w:rPr>
            </w:pPr>
            <w:r>
              <w:rPr>
                <w:rFonts w:hint="eastAsia" w:asciiTheme="majorEastAsia" w:hAnsiTheme="majorEastAsia" w:eastAsiaTheme="majorEastAsia"/>
                <w:sz w:val="18"/>
                <w:szCs w:val="18"/>
              </w:rPr>
              <w:t>重点讲解每篇国际商务谈判日语文章中难解词语的含义，分析词语搭配、各类惯用型、句型使用时的要求，段落之间的过渡与衔接以及各种逻辑关系。</w:t>
            </w:r>
          </w:p>
        </w:tc>
        <w:tc>
          <w:tcPr>
            <w:tcW w:w="709"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0</w:t>
            </w:r>
          </w:p>
        </w:tc>
        <w:tc>
          <w:tcPr>
            <w:tcW w:w="663"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2</w:t>
            </w:r>
          </w:p>
        </w:tc>
      </w:tr>
    </w:tbl>
    <w:p>
      <w:pPr>
        <w:snapToGrid w:val="0"/>
        <w:spacing w:line="288" w:lineRule="auto"/>
        <w:ind w:right="2520" w:firstLine="400" w:firstLineChars="200"/>
        <w:rPr>
          <w:sz w:val="20"/>
          <w:szCs w:val="20"/>
        </w:rPr>
      </w:pPr>
    </w:p>
    <w:p>
      <w:pPr>
        <w:spacing w:before="156" w:beforeLines="50" w:after="156" w:afterLines="50" w:line="288" w:lineRule="auto"/>
        <w:ind w:firstLine="236" w:firstLineChars="98"/>
        <w:rPr>
          <w:rFonts w:asciiTheme="majorEastAsia" w:hAnsiTheme="majorEastAsia" w:eastAsiaTheme="majorEastAsia"/>
          <w:b/>
          <w:sz w:val="24"/>
        </w:rPr>
      </w:pPr>
    </w:p>
    <w:p>
      <w:pPr>
        <w:spacing w:before="156" w:beforeLines="50" w:after="156" w:afterLines="50" w:line="288" w:lineRule="auto"/>
        <w:ind w:firstLine="236" w:firstLineChars="98"/>
        <w:rPr>
          <w:rFonts w:asciiTheme="majorEastAsia" w:hAnsiTheme="majorEastAsia" w:eastAsiaTheme="majorEastAsia"/>
          <w:b/>
          <w:sz w:val="24"/>
        </w:rPr>
      </w:pPr>
      <w:r>
        <w:rPr>
          <w:rFonts w:hint="eastAsia" w:asciiTheme="majorEastAsia" w:hAnsiTheme="majorEastAsia" w:eastAsiaTheme="majorEastAsia"/>
          <w:b/>
          <w:sz w:val="24"/>
        </w:rPr>
        <w:t>七、实践环节各阶段名称及基本要求</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4"/>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r>
              <w:rPr>
                <w:rFonts w:hint="eastAsia" w:ascii="宋体"/>
                <w:sz w:val="16"/>
                <w:szCs w:val="16"/>
              </w:rPr>
              <w:t>1</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8"/>
                <w:szCs w:val="18"/>
              </w:rPr>
            </w:pPr>
            <w:r>
              <w:rPr>
                <w:rFonts w:hint="eastAsia" w:ascii="宋体"/>
                <w:sz w:val="18"/>
                <w:szCs w:val="18"/>
              </w:rPr>
              <w:t>根据命题回答问题</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分析、练习、讨论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2课时</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r>
              <w:rPr>
                <w:rFonts w:hint="eastAsia" w:ascii="宋体"/>
                <w:sz w:val="16"/>
                <w:szCs w:val="16"/>
              </w:rPr>
              <w:t>2</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8"/>
                <w:szCs w:val="18"/>
              </w:rPr>
            </w:pPr>
            <w:r>
              <w:rPr>
                <w:rFonts w:hint="eastAsia" w:ascii="宋体"/>
                <w:sz w:val="18"/>
                <w:szCs w:val="18"/>
              </w:rPr>
              <w:t>根据命题回答问题</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分析、练习、讨论</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8"/>
                <w:szCs w:val="18"/>
              </w:rPr>
            </w:pPr>
            <w:r>
              <w:rPr>
                <w:rFonts w:hint="eastAsia" w:ascii="宋体"/>
                <w:sz w:val="18"/>
                <w:szCs w:val="18"/>
              </w:rPr>
              <w:t>2课时</w:t>
            </w: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40" w:lineRule="exact"/>
        <w:ind w:right="2517"/>
        <w:rPr>
          <w:rFonts w:ascii="黑体" w:hAnsi="宋体" w:eastAsia="黑体"/>
          <w:sz w:val="24"/>
        </w:rPr>
      </w:pPr>
    </w:p>
    <w:p>
      <w:pPr>
        <w:spacing w:before="156" w:beforeLines="50" w:after="156" w:afterLines="50" w:line="288" w:lineRule="auto"/>
        <w:ind w:firstLine="236" w:firstLineChars="98"/>
        <w:rPr>
          <w:rFonts w:asciiTheme="majorEastAsia" w:hAnsiTheme="majorEastAsia" w:eastAsiaTheme="majorEastAsia"/>
          <w:b/>
          <w:sz w:val="24"/>
        </w:rPr>
      </w:pPr>
    </w:p>
    <w:p>
      <w:pPr>
        <w:spacing w:before="156" w:beforeLines="50" w:after="156" w:afterLines="50" w:line="288" w:lineRule="auto"/>
        <w:ind w:firstLine="236" w:firstLineChars="98"/>
        <w:rPr>
          <w:rFonts w:asciiTheme="majorEastAsia" w:hAnsiTheme="majorEastAsia" w:eastAsiaTheme="majorEastAsia"/>
          <w:b/>
          <w:sz w:val="24"/>
        </w:rPr>
      </w:pPr>
      <w:r>
        <w:rPr>
          <w:rFonts w:hint="eastAsia" w:asciiTheme="majorEastAsia" w:hAnsiTheme="majorEastAsia" w:eastAsiaTheme="majorEastAsia"/>
          <w:b/>
          <w:sz w:val="24"/>
        </w:rPr>
        <w:t>八、评价方式与成绩</w:t>
      </w:r>
    </w:p>
    <w:tbl>
      <w:tblPr>
        <w:tblStyle w:val="4"/>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line="380" w:lineRule="exact"/>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line="380" w:lineRule="exact"/>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line="380" w:lineRule="exact"/>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ind w:left="210" w:leftChars="100"/>
              <w:rPr>
                <w:rFonts w:ascii="宋体" w:hAnsi="宋体"/>
                <w:bCs/>
                <w:color w:val="000000"/>
                <w:szCs w:val="20"/>
              </w:rPr>
            </w:pPr>
            <w:r>
              <w:rPr>
                <w:rFonts w:hint="eastAsia" w:ascii="宋体" w:hAnsi="宋体" w:eastAsiaTheme="minorEastAsia"/>
                <w:bCs/>
                <w:color w:val="000000"/>
                <w:szCs w:val="20"/>
              </w:rPr>
              <w:t>要求</w:t>
            </w:r>
            <w:r>
              <w:rPr>
                <w:rFonts w:hint="eastAsia" w:ascii="MS Mincho" w:hAnsi="MS Mincho" w:eastAsiaTheme="minorEastAsia"/>
                <w:bCs/>
                <w:color w:val="000000"/>
                <w:szCs w:val="20"/>
              </w:rPr>
              <w:t>阅读翻译国际商务谈判相关若干文章并</w:t>
            </w:r>
            <w:r>
              <w:rPr>
                <w:rFonts w:hint="eastAsia" w:ascii="宋体" w:hAnsi="宋体"/>
                <w:bCs/>
                <w:color w:val="000000"/>
                <w:szCs w:val="20"/>
              </w:rPr>
              <w:t>回答提问。</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ind w:left="210" w:leftChars="100"/>
              <w:rPr>
                <w:rFonts w:ascii="宋体" w:hAnsi="宋体"/>
                <w:bCs/>
                <w:color w:val="000000"/>
                <w:szCs w:val="20"/>
              </w:rPr>
            </w:pPr>
            <w:r>
              <w:rPr>
                <w:rFonts w:hint="eastAsia" w:ascii="宋体" w:hAnsi="宋体"/>
                <w:bCs/>
                <w:color w:val="000000"/>
                <w:szCs w:val="20"/>
              </w:rPr>
              <w:t>要求朗读所指定的国际商务谈判相关的日语</w:t>
            </w:r>
            <w:r>
              <w:rPr>
                <w:rFonts w:hint="eastAsia" w:ascii="宋体" w:hAnsi="宋体" w:eastAsiaTheme="minorEastAsia"/>
                <w:bCs/>
                <w:color w:val="000000"/>
                <w:szCs w:val="20"/>
              </w:rPr>
              <w:t>文章并</w:t>
            </w:r>
            <w:r>
              <w:rPr>
                <w:rFonts w:hint="eastAsia" w:ascii="宋体" w:hAnsi="宋体"/>
                <w:bCs/>
                <w:color w:val="000000"/>
                <w:szCs w:val="20"/>
              </w:rPr>
              <w:t>回答提问。</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ind w:left="210" w:leftChars="100"/>
              <w:rPr>
                <w:rFonts w:ascii="宋体" w:hAnsi="宋体"/>
                <w:bCs/>
                <w:color w:val="000000"/>
                <w:szCs w:val="20"/>
              </w:rPr>
            </w:pPr>
            <w:r>
              <w:rPr>
                <w:rFonts w:hint="eastAsia" w:ascii="宋体" w:hAnsi="宋体"/>
                <w:bCs/>
                <w:color w:val="000000"/>
                <w:szCs w:val="20"/>
              </w:rPr>
              <w:t>要求朗读所指定的国际商务谈判相关的日语</w:t>
            </w:r>
            <w:r>
              <w:rPr>
                <w:rFonts w:hint="eastAsia" w:ascii="宋体" w:hAnsi="宋体" w:eastAsiaTheme="minorEastAsia"/>
                <w:bCs/>
                <w:color w:val="000000"/>
                <w:szCs w:val="20"/>
              </w:rPr>
              <w:t>文章并</w:t>
            </w:r>
            <w:r>
              <w:rPr>
                <w:rFonts w:hint="eastAsia" w:ascii="宋体" w:hAnsi="宋体"/>
                <w:bCs/>
                <w:color w:val="000000"/>
                <w:szCs w:val="20"/>
              </w:rPr>
              <w:t>回答提问。</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ind w:left="210" w:leftChars="100"/>
              <w:rPr>
                <w:rFonts w:ascii="宋体" w:hAnsi="宋体" w:eastAsia="MS Mincho"/>
                <w:bCs/>
                <w:color w:val="000000"/>
                <w:szCs w:val="20"/>
              </w:rPr>
            </w:pPr>
            <w:r>
              <w:rPr>
                <w:rFonts w:hint="eastAsia" w:ascii="宋体" w:hAnsi="宋体"/>
                <w:bCs/>
                <w:color w:val="000000"/>
                <w:szCs w:val="20"/>
              </w:rPr>
              <w:t>要求朗读所指定的国际商务谈判相关的日语</w:t>
            </w:r>
            <w:r>
              <w:rPr>
                <w:rFonts w:hint="eastAsia" w:ascii="宋体" w:hAnsi="宋体" w:eastAsiaTheme="minorEastAsia"/>
                <w:bCs/>
                <w:color w:val="000000"/>
                <w:szCs w:val="20"/>
              </w:rPr>
              <w:t>文章并</w:t>
            </w:r>
            <w:r>
              <w:rPr>
                <w:rFonts w:hint="eastAsia" w:ascii="宋体" w:hAnsi="宋体"/>
                <w:bCs/>
                <w:color w:val="000000"/>
                <w:szCs w:val="20"/>
              </w:rPr>
              <w:t>回答提问。</w:t>
            </w:r>
          </w:p>
          <w:p>
            <w:pPr>
              <w:snapToGrid w:val="0"/>
              <w:spacing w:before="156" w:beforeLines="50" w:after="156" w:afterLines="50"/>
              <w:ind w:firstLine="1050" w:firstLineChars="500"/>
              <w:rPr>
                <w:rFonts w:ascii="宋体" w:hAnsi="宋体"/>
                <w:bCs/>
                <w:color w:val="000000"/>
                <w:szCs w:val="20"/>
              </w:rPr>
            </w:pP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tbl>
    <w:p>
      <w:pPr>
        <w:snapToGrid w:val="0"/>
        <w:spacing w:line="288" w:lineRule="auto"/>
        <w:rPr>
          <w:sz w:val="28"/>
          <w:szCs w:val="28"/>
        </w:rPr>
      </w:pPr>
    </w:p>
    <w:p>
      <w:pPr>
        <w:snapToGrid w:val="0"/>
        <w:spacing w:line="288" w:lineRule="auto"/>
        <w:rPr>
          <w:sz w:val="28"/>
          <w:szCs w:val="28"/>
        </w:rPr>
      </w:pPr>
    </w:p>
    <w:p>
      <w:pPr>
        <w:snapToGrid w:val="0"/>
        <w:spacing w:line="288" w:lineRule="auto"/>
        <w:rPr>
          <w:szCs w:val="21"/>
        </w:rPr>
      </w:pPr>
      <w:r>
        <w:rPr>
          <w:rFonts w:hint="eastAsia"/>
          <w:szCs w:val="21"/>
        </w:rPr>
        <w:t>撰写人：</w:t>
      </w:r>
      <w:r>
        <w:rPr>
          <w:szCs w:val="21"/>
        </w:rPr>
        <w:drawing>
          <wp:inline distT="0" distB="0" distL="0" distR="0">
            <wp:extent cx="913765" cy="372110"/>
            <wp:effectExtent l="0" t="0" r="635"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52678" cy="387928"/>
                    </a:xfrm>
                    <a:prstGeom prst="rect">
                      <a:avLst/>
                    </a:prstGeom>
                    <a:noFill/>
                    <a:ln>
                      <a:noFill/>
                    </a:ln>
                  </pic:spPr>
                </pic:pic>
              </a:graphicData>
            </a:graphic>
          </wp:inline>
        </w:drawing>
      </w:r>
      <w:r>
        <w:rPr>
          <w:rFonts w:hint="eastAsia"/>
          <w:szCs w:val="21"/>
        </w:rPr>
        <w:t xml:space="preserve"> </w:t>
      </w:r>
      <w:r>
        <w:rPr>
          <w:szCs w:val="21"/>
        </w:rPr>
        <w:t xml:space="preserve">    </w:t>
      </w:r>
      <w:r>
        <w:rPr>
          <w:rFonts w:hint="eastAsia"/>
          <w:szCs w:val="21"/>
        </w:rPr>
        <w:t>系主任审核签名：</w:t>
      </w:r>
      <w:r>
        <w:rPr>
          <w:rFonts w:hint="eastAsia"/>
          <w:szCs w:val="21"/>
        </w:rPr>
        <w:drawing>
          <wp:inline distT="0" distB="0" distL="114300" distR="114300">
            <wp:extent cx="1094740" cy="396875"/>
            <wp:effectExtent l="0" t="0" r="2540" b="14605"/>
            <wp:docPr id="1" name="图片 1" descr="刘尔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刘尔瑟"/>
                    <pic:cNvPicPr>
                      <a:picLocks noChangeAspect="1"/>
                    </pic:cNvPicPr>
                  </pic:nvPicPr>
                  <pic:blipFill>
                    <a:blip r:embed="rId5"/>
                    <a:stretch>
                      <a:fillRect/>
                    </a:stretch>
                  </pic:blipFill>
                  <pic:spPr>
                    <a:xfrm>
                      <a:off x="0" y="0"/>
                      <a:ext cx="1094740" cy="396875"/>
                    </a:xfrm>
                    <a:prstGeom prst="rect">
                      <a:avLst/>
                    </a:prstGeom>
                  </pic:spPr>
                </pic:pic>
              </a:graphicData>
            </a:graphic>
          </wp:inline>
        </w:drawing>
      </w:r>
      <w:r>
        <w:rPr>
          <w:rFonts w:hint="eastAsia"/>
          <w:szCs w:val="21"/>
        </w:rPr>
        <w:t xml:space="preserve">    审核时间：202</w:t>
      </w:r>
      <w:r>
        <w:rPr>
          <w:szCs w:val="21"/>
        </w:rPr>
        <w:t>2</w:t>
      </w:r>
      <w:r>
        <w:rPr>
          <w:rFonts w:hint="eastAsia"/>
          <w:szCs w:val="21"/>
        </w:rPr>
        <w:t>.9.</w:t>
      </w:r>
      <w:r>
        <w:rPr>
          <w:szCs w:val="21"/>
        </w:rPr>
        <w:t>16</w:t>
      </w:r>
      <w:r>
        <w:rPr>
          <w:rFonts w:hint="eastAsia"/>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E00002FF" w:usb1="6AC7FDFB" w:usb2="08000012" w:usb3="00000000" w:csb0="4002009F" w:csb1="DFD70000"/>
  </w:font>
  <w:font w:name="MS UI Gothic">
    <w:panose1 w:val="020B0600070205080204"/>
    <w:charset w:val="80"/>
    <w:family w:val="swiss"/>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3180"/>
    <w:rsid w:val="0001345A"/>
    <w:rsid w:val="000228AF"/>
    <w:rsid w:val="00041E5C"/>
    <w:rsid w:val="000534E6"/>
    <w:rsid w:val="00086A07"/>
    <w:rsid w:val="000B3AE5"/>
    <w:rsid w:val="00101BD5"/>
    <w:rsid w:val="001072BC"/>
    <w:rsid w:val="001378B2"/>
    <w:rsid w:val="00144D9B"/>
    <w:rsid w:val="00162169"/>
    <w:rsid w:val="001659D7"/>
    <w:rsid w:val="00170E34"/>
    <w:rsid w:val="00172ADA"/>
    <w:rsid w:val="001868E8"/>
    <w:rsid w:val="001A3CB7"/>
    <w:rsid w:val="001B1679"/>
    <w:rsid w:val="001C1797"/>
    <w:rsid w:val="001D4809"/>
    <w:rsid w:val="001F25AC"/>
    <w:rsid w:val="001F631A"/>
    <w:rsid w:val="00220B95"/>
    <w:rsid w:val="00246775"/>
    <w:rsid w:val="00256B39"/>
    <w:rsid w:val="0026033C"/>
    <w:rsid w:val="002945C2"/>
    <w:rsid w:val="002A0C53"/>
    <w:rsid w:val="002B3831"/>
    <w:rsid w:val="002D513F"/>
    <w:rsid w:val="002D79E9"/>
    <w:rsid w:val="002E3721"/>
    <w:rsid w:val="002F5FCD"/>
    <w:rsid w:val="00313BBA"/>
    <w:rsid w:val="0032602E"/>
    <w:rsid w:val="00333476"/>
    <w:rsid w:val="003367AE"/>
    <w:rsid w:val="00377966"/>
    <w:rsid w:val="003B1258"/>
    <w:rsid w:val="003B6059"/>
    <w:rsid w:val="003E7067"/>
    <w:rsid w:val="00405117"/>
    <w:rsid w:val="004068AE"/>
    <w:rsid w:val="004100B0"/>
    <w:rsid w:val="00412CBC"/>
    <w:rsid w:val="004359A1"/>
    <w:rsid w:val="00456EA4"/>
    <w:rsid w:val="0046573B"/>
    <w:rsid w:val="004866AA"/>
    <w:rsid w:val="004A136F"/>
    <w:rsid w:val="004A528A"/>
    <w:rsid w:val="004B0766"/>
    <w:rsid w:val="004E2A73"/>
    <w:rsid w:val="00501801"/>
    <w:rsid w:val="00503B93"/>
    <w:rsid w:val="00521ECB"/>
    <w:rsid w:val="005467DC"/>
    <w:rsid w:val="005524E6"/>
    <w:rsid w:val="00553D03"/>
    <w:rsid w:val="005941E3"/>
    <w:rsid w:val="005A470F"/>
    <w:rsid w:val="005B2B6D"/>
    <w:rsid w:val="005B4B4E"/>
    <w:rsid w:val="005E6002"/>
    <w:rsid w:val="005E7BDB"/>
    <w:rsid w:val="005F7DE2"/>
    <w:rsid w:val="00604AF2"/>
    <w:rsid w:val="00607F1A"/>
    <w:rsid w:val="0062438B"/>
    <w:rsid w:val="00624FE1"/>
    <w:rsid w:val="006255B3"/>
    <w:rsid w:val="00642C4D"/>
    <w:rsid w:val="0067060A"/>
    <w:rsid w:val="0067134F"/>
    <w:rsid w:val="006C25FF"/>
    <w:rsid w:val="006C480B"/>
    <w:rsid w:val="006E4820"/>
    <w:rsid w:val="006E5BA9"/>
    <w:rsid w:val="007208D6"/>
    <w:rsid w:val="00730402"/>
    <w:rsid w:val="00743364"/>
    <w:rsid w:val="0076180F"/>
    <w:rsid w:val="00770C8E"/>
    <w:rsid w:val="007D7811"/>
    <w:rsid w:val="007E4DDF"/>
    <w:rsid w:val="007F4495"/>
    <w:rsid w:val="00861D36"/>
    <w:rsid w:val="00875AC9"/>
    <w:rsid w:val="008B397C"/>
    <w:rsid w:val="008B47F4"/>
    <w:rsid w:val="008C2DC0"/>
    <w:rsid w:val="008C7FC5"/>
    <w:rsid w:val="00900019"/>
    <w:rsid w:val="0092445E"/>
    <w:rsid w:val="00934279"/>
    <w:rsid w:val="0094092E"/>
    <w:rsid w:val="00955292"/>
    <w:rsid w:val="0095634C"/>
    <w:rsid w:val="0099063E"/>
    <w:rsid w:val="009B4F1D"/>
    <w:rsid w:val="009D6FDC"/>
    <w:rsid w:val="009E4CB1"/>
    <w:rsid w:val="009F1163"/>
    <w:rsid w:val="00A21E05"/>
    <w:rsid w:val="00A23E7F"/>
    <w:rsid w:val="00A41C62"/>
    <w:rsid w:val="00A5198F"/>
    <w:rsid w:val="00A549E8"/>
    <w:rsid w:val="00A769B1"/>
    <w:rsid w:val="00A837D5"/>
    <w:rsid w:val="00A924B3"/>
    <w:rsid w:val="00A926B9"/>
    <w:rsid w:val="00AC4A2A"/>
    <w:rsid w:val="00AC4C45"/>
    <w:rsid w:val="00AE2567"/>
    <w:rsid w:val="00AE3293"/>
    <w:rsid w:val="00AE5651"/>
    <w:rsid w:val="00B1573A"/>
    <w:rsid w:val="00B262FA"/>
    <w:rsid w:val="00B310BC"/>
    <w:rsid w:val="00B46F21"/>
    <w:rsid w:val="00B511A5"/>
    <w:rsid w:val="00B736A7"/>
    <w:rsid w:val="00B7651F"/>
    <w:rsid w:val="00B83AF6"/>
    <w:rsid w:val="00BB67EE"/>
    <w:rsid w:val="00BB6ECC"/>
    <w:rsid w:val="00BC79E1"/>
    <w:rsid w:val="00BD6F97"/>
    <w:rsid w:val="00BF7B83"/>
    <w:rsid w:val="00C029C0"/>
    <w:rsid w:val="00C04DE4"/>
    <w:rsid w:val="00C07277"/>
    <w:rsid w:val="00C44E47"/>
    <w:rsid w:val="00C56E09"/>
    <w:rsid w:val="00C728E2"/>
    <w:rsid w:val="00CA51B0"/>
    <w:rsid w:val="00CB7284"/>
    <w:rsid w:val="00CE0E4B"/>
    <w:rsid w:val="00CF096B"/>
    <w:rsid w:val="00CF212B"/>
    <w:rsid w:val="00D25791"/>
    <w:rsid w:val="00D94FF3"/>
    <w:rsid w:val="00DB224C"/>
    <w:rsid w:val="00DF79E8"/>
    <w:rsid w:val="00E06A90"/>
    <w:rsid w:val="00E1527B"/>
    <w:rsid w:val="00E16D30"/>
    <w:rsid w:val="00E33169"/>
    <w:rsid w:val="00E44049"/>
    <w:rsid w:val="00E4734F"/>
    <w:rsid w:val="00E572A5"/>
    <w:rsid w:val="00E6073A"/>
    <w:rsid w:val="00E64D24"/>
    <w:rsid w:val="00E70904"/>
    <w:rsid w:val="00E73A71"/>
    <w:rsid w:val="00E812B6"/>
    <w:rsid w:val="00ED7234"/>
    <w:rsid w:val="00EF44B1"/>
    <w:rsid w:val="00F04AA2"/>
    <w:rsid w:val="00F07995"/>
    <w:rsid w:val="00F35AA0"/>
    <w:rsid w:val="00F3658F"/>
    <w:rsid w:val="00F40266"/>
    <w:rsid w:val="00F431ED"/>
    <w:rsid w:val="00F54654"/>
    <w:rsid w:val="00F746A9"/>
    <w:rsid w:val="00F86528"/>
    <w:rsid w:val="00F87D6B"/>
    <w:rsid w:val="00FC27E6"/>
    <w:rsid w:val="016E63C2"/>
    <w:rsid w:val="024B0C39"/>
    <w:rsid w:val="0A8128A6"/>
    <w:rsid w:val="0BF32A1B"/>
    <w:rsid w:val="10BD2C22"/>
    <w:rsid w:val="12795453"/>
    <w:rsid w:val="22987C80"/>
    <w:rsid w:val="24192CCC"/>
    <w:rsid w:val="274C522F"/>
    <w:rsid w:val="36AA4966"/>
    <w:rsid w:val="39A66CD4"/>
    <w:rsid w:val="3CD52CE1"/>
    <w:rsid w:val="410F2E6A"/>
    <w:rsid w:val="42F87753"/>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BBD9D0-0EE7-4B0E-A97A-7DF30A14100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621</Words>
  <Characters>3540</Characters>
  <Lines>29</Lines>
  <Paragraphs>8</Paragraphs>
  <TotalTime>1</TotalTime>
  <ScaleCrop>false</ScaleCrop>
  <LinksUpToDate>false</LinksUpToDate>
  <CharactersWithSpaces>4153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2022-09-16T07:44:00Z</dcterms:created>
  <dc:creator>juvg</dc:creator>
  <cp:lastModifiedBy>刘尔瑟</cp:lastModifiedBy>
  <dcterms:modified xsi:type="dcterms:W3CDTF">2022-09-18T13:57:06Z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