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2EC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《日语（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）》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6E823BF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D36C81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48D5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A0C1C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（中文）日语（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B94444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29DD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F6B40D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（英文）Japanese（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52EC4C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1168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0AC8CF5">
            <w:pPr>
              <w:widowControl w:val="0"/>
              <w:jc w:val="center"/>
              <w:rPr>
                <w:rFonts w:hint="default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1020011</w:t>
            </w:r>
          </w:p>
        </w:tc>
        <w:tc>
          <w:tcPr>
            <w:tcW w:w="2126" w:type="dxa"/>
            <w:gridSpan w:val="2"/>
            <w:vAlign w:val="center"/>
          </w:tcPr>
          <w:p w14:paraId="59CE10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53C2EB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7963FA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131DD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0F670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5A5E3D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E59825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47435D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CE7F1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D5D86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D0CEC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84558A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</w:tc>
        <w:tc>
          <w:tcPr>
            <w:tcW w:w="2126" w:type="dxa"/>
            <w:gridSpan w:val="2"/>
            <w:vAlign w:val="center"/>
          </w:tcPr>
          <w:p w14:paraId="716B05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33644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英语专业三年级</w:t>
            </w:r>
          </w:p>
        </w:tc>
      </w:tr>
      <w:tr w14:paraId="333F56A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76A3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44444D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1E50CC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E13AF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05B6FF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E298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640BF7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《中日交流标准日本语 初级（上）》，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人民教育出版社，201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月第2版</w:t>
            </w:r>
          </w:p>
        </w:tc>
        <w:tc>
          <w:tcPr>
            <w:tcW w:w="1413" w:type="dxa"/>
            <w:gridSpan w:val="2"/>
            <w:vAlign w:val="center"/>
          </w:tcPr>
          <w:p w14:paraId="2CEA82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B12FE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BDBADA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9753E52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631F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0B127EE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7C8DB70E"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ADDC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B88F937">
            <w:pPr>
              <w:widowControl w:val="0"/>
              <w:spacing w:line="360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《日语（1）》</w:t>
            </w:r>
            <w:r>
              <w:rPr>
                <w:color w:val="000000"/>
                <w:sz w:val="20"/>
                <w:szCs w:val="20"/>
              </w:rPr>
              <w:t>是面向外国语学院</w:t>
            </w: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本科</w:t>
            </w:r>
            <w:r>
              <w:rPr>
                <w:color w:val="000000"/>
                <w:sz w:val="20"/>
                <w:szCs w:val="20"/>
              </w:rPr>
              <w:t>专业学生</w:t>
            </w:r>
            <w:r>
              <w:rPr>
                <w:rFonts w:hint="eastAsia"/>
                <w:color w:val="000000"/>
                <w:sz w:val="20"/>
                <w:szCs w:val="20"/>
              </w:rPr>
              <w:t>开设的一门专业特色课程，</w:t>
            </w:r>
            <w:r>
              <w:rPr>
                <w:color w:val="000000"/>
                <w:sz w:val="20"/>
                <w:szCs w:val="20"/>
              </w:rPr>
              <w:t>教授入门和基础阶段的日语基础知识，通过听说读写译的基本训练，掌握日语基础知识、基本技能以及日语学习策略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color w:val="000000"/>
                <w:sz w:val="20"/>
                <w:szCs w:val="20"/>
              </w:rPr>
              <w:t>课程教学任务是培养学生具有一定的日语阅读能力，初步的听说写译能力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>
              <w:rPr>
                <w:color w:val="000000"/>
                <w:sz w:val="20"/>
                <w:szCs w:val="20"/>
              </w:rPr>
              <w:t>初步的日语综合运用能力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使学生能以日语为工具，获取专业所需要的信息，并为今后继续学习日语打下基础。</w:t>
            </w:r>
          </w:p>
          <w:p w14:paraId="0EBB3D28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 w14:paraId="233A4369"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FD219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076B93E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本课程于本科英语专业大三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t>学期开设。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应该具备基本的日语听说读写的能力</w:t>
            </w:r>
          </w:p>
        </w:tc>
      </w:tr>
      <w:tr w14:paraId="58A4916B"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9D13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691B9D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38760"/>
                  <wp:effectExtent l="0" t="0" r="4445" b="8890"/>
                  <wp:docPr id="1" name="图片 1" descr="e969d20e81048232226076b933899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69d20e81048232226076b933899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437B17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0575E7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0199AF50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9655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2FA87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482600" cy="348615"/>
                  <wp:effectExtent l="0" t="0" r="3175" b="3810"/>
                  <wp:docPr id="12" name="图片 1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80058A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AB193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07123C0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AF392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24AB5D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-36830</wp:posOffset>
                  </wp:positionV>
                  <wp:extent cx="873760" cy="523875"/>
                  <wp:effectExtent l="0" t="0" r="0" b="9525"/>
                  <wp:wrapNone/>
                  <wp:docPr id="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89B7B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DEA02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</w:tbl>
    <w:p w14:paraId="4B210AC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C2401E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5B19DF55">
      <w:pPr>
        <w:pStyle w:val="17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64"/>
        <w:gridCol w:w="6292"/>
        <w:gridCol w:w="920"/>
      </w:tblGrid>
      <w:tr w14:paraId="2E0BA735"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639FA8B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381D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43E3827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66EFDFEB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07F04F8E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0F7A8D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20" w:type="dxa"/>
            <w:vAlign w:val="center"/>
          </w:tcPr>
          <w:p w14:paraId="78DFDB82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42F4B2EB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34325A1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493283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20" w:type="dxa"/>
            <w:vAlign w:val="center"/>
          </w:tcPr>
          <w:p w14:paraId="4C588DD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03084C5E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EFA4389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941384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920" w:type="dxa"/>
            <w:vAlign w:val="center"/>
          </w:tcPr>
          <w:p w14:paraId="3AE25D8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31A3FA2B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2A5A905A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41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6B43AE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14了解日语写作的基础知识，摆脱汉语的思维方式，用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简单</w:t>
            </w:r>
            <w:r>
              <w:rPr>
                <w:rFonts w:hint="eastAsia"/>
                <w:kern w:val="0"/>
                <w:sz w:val="20"/>
                <w:szCs w:val="20"/>
              </w:rPr>
              <w:t>的日语进行表情达意。</w:t>
            </w:r>
          </w:p>
        </w:tc>
        <w:tc>
          <w:tcPr>
            <w:tcW w:w="920" w:type="dxa"/>
            <w:vAlign w:val="center"/>
          </w:tcPr>
          <w:p w14:paraId="5DC5426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1175C96F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6DB556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25107364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5E897D43">
            <w:pPr>
              <w:pStyle w:val="14"/>
            </w:pPr>
          </w:p>
        </w:tc>
      </w:tr>
      <w:tr w14:paraId="6C4CEC41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551BEC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7B184384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44096C56">
            <w:pPr>
              <w:pStyle w:val="14"/>
            </w:pPr>
          </w:p>
        </w:tc>
      </w:tr>
      <w:tr w14:paraId="5E7970D8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14D8D5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14240B91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169ADD0A">
            <w:pPr>
              <w:pStyle w:val="14"/>
            </w:pPr>
          </w:p>
        </w:tc>
      </w:tr>
    </w:tbl>
    <w:p w14:paraId="2C5BEE51"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03D8C5D0">
        <w:trPr>
          <w:trHeight w:val="68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188AE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EE73E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FA28C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37A7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8DDD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6080AD7C"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801ED6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1F13030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702F8828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4D18B75">
            <w:pPr>
              <w:pStyle w:val="14"/>
              <w:rPr>
                <w:rFonts w:ascii="宋体" w:hAnsi="宋体"/>
                <w:bCs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</w:p>
        </w:tc>
      </w:tr>
      <w:tr w14:paraId="4ED08CB0"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A8CBC4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A4A1AB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76D84654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08215FA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281BEB07">
        <w:trPr>
          <w:trHeight w:val="187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D17C3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1DF2CC06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312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21516C4B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07E54B0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47FECFC2"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A70CC5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cs="Times New Roman"/>
              </w:rPr>
              <w:t>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CEDE101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hint="eastAsia" w:cs="Times New Roman"/>
                <w:bCs/>
                <w:lang w:val="en-US" w:eastAsia="zh-CN"/>
              </w:rPr>
              <w:t>8</w:t>
            </w: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1D66B2F3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第二</w:t>
            </w:r>
            <w:r>
              <w:rPr>
                <w:rFonts w:hint="eastAsia"/>
                <w:kern w:val="0"/>
                <w:sz w:val="20"/>
                <w:szCs w:val="20"/>
              </w:rPr>
              <w:t>外语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基本</w:t>
            </w:r>
            <w:r>
              <w:rPr>
                <w:rFonts w:hint="eastAsia"/>
                <w:kern w:val="0"/>
                <w:sz w:val="20"/>
                <w:szCs w:val="20"/>
              </w:rPr>
              <w:t>表达沟通能力。（日语）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3FC53E4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③</w:t>
            </w:r>
          </w:p>
        </w:tc>
      </w:tr>
      <w:tr w14:paraId="625663AE"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C9EBE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7497D7D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60BD3A86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6BD2476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</w:t>
            </w:r>
          </w:p>
        </w:tc>
      </w:tr>
      <w:tr w14:paraId="76E47AD6"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3CE4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2BCC534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A76B6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EBE3F45">
        <w:tc>
          <w:tcPr>
            <w:tcW w:w="8296" w:type="dxa"/>
          </w:tcPr>
          <w:p w14:paraId="2D28C327">
            <w:pPr>
              <w:pStyle w:val="17"/>
              <w:widowControl w:val="0"/>
              <w:spacing w:before="81" w:after="163"/>
              <w:ind w:firstLine="241" w:firstLineChars="100"/>
              <w:jc w:val="both"/>
              <w:rPr>
                <w:rFonts w:hint="eastAsia" w:ascii="仿宋" w:hAnsi="仿宋" w:eastAsia="仿宋" w:cs="仿宋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语音基础知识--预期学习成果与教学内容</w:t>
            </w: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  <w:p w14:paraId="5EDEBFF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日语“五十音图”是日语学习的基础，要求学生必须熟练掌握。</w:t>
            </w:r>
          </w:p>
          <w:p w14:paraId="4FF25AF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日语与汉语和英语发音不同，在一个音节内没有高低变化，是通过音节之间的高低变化来表示不同的含义。</w:t>
            </w:r>
          </w:p>
          <w:p w14:paraId="5F6668E7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  <w:t>小李赴日一预期学习成果与教学内容</w:t>
            </w:r>
          </w:p>
          <w:p w14:paraId="6DD48B4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掌握指示代词的用法；</w:t>
            </w:r>
          </w:p>
          <w:p w14:paraId="6487450E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掌握几种常用寒暄语的用法；</w:t>
            </w:r>
          </w:p>
          <w:p w14:paraId="153936A5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掌握存在句的用法；</w:t>
            </w:r>
          </w:p>
          <w:p w14:paraId="04F435EF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能用正确的语音和语调朗读课文。</w:t>
            </w:r>
          </w:p>
          <w:p w14:paraId="0B7388E9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  <w:t>小李在箱根一预期学习成果与教学内容</w:t>
            </w:r>
          </w:p>
          <w:p w14:paraId="2F023AF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1、掌握数量词的用法；</w:t>
            </w:r>
          </w:p>
          <w:p w14:paraId="647C9D0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2、掌握动词的连用形的变化以及用法</w:t>
            </w:r>
          </w:p>
          <w:p w14:paraId="4E6D8D4F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3、掌握形容词的连用形的变化以及用法</w:t>
            </w:r>
          </w:p>
          <w:p w14:paraId="13E0C0B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4、能用正确的语音和语调朗读课文。</w:t>
            </w:r>
          </w:p>
          <w:p w14:paraId="7D79F4E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6D25C9A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26A5120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264990BC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小李的公司生活—预期学习成果与教学内容</w:t>
            </w:r>
          </w:p>
          <w:p w14:paraId="72145E6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掌握数量词的用法；</w:t>
            </w:r>
          </w:p>
          <w:p w14:paraId="1CF364E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2、掌握动词的连用形的变化以及用法</w:t>
            </w:r>
          </w:p>
          <w:p w14:paraId="1CB1F31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3、掌握形容词的连用形的变化以及用法</w:t>
            </w:r>
          </w:p>
          <w:p w14:paraId="0FABC396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64D1BA2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41A6A6C7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</w:tc>
      </w:tr>
      <w:bookmarkEnd w:id="0"/>
      <w:bookmarkEnd w:id="1"/>
    </w:tbl>
    <w:p w14:paraId="040BDDD2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736"/>
        <w:gridCol w:w="1564"/>
        <w:gridCol w:w="1630"/>
        <w:gridCol w:w="1667"/>
      </w:tblGrid>
      <w:tr w14:paraId="3C66C6A3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5DD23F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4AD52B">
            <w:pPr>
              <w:pStyle w:val="13"/>
              <w:ind w:right="210"/>
              <w:jc w:val="left"/>
              <w:rPr>
                <w:szCs w:val="16"/>
              </w:rPr>
            </w:pPr>
          </w:p>
          <w:p w14:paraId="4CE6807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6EE5D4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64" w:type="dxa"/>
            <w:tcBorders>
              <w:top w:val="single" w:color="auto" w:sz="12" w:space="0"/>
            </w:tcBorders>
            <w:vAlign w:val="center"/>
          </w:tcPr>
          <w:p w14:paraId="4935DFD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color="auto" w:sz="12" w:space="0"/>
            </w:tcBorders>
            <w:vAlign w:val="center"/>
          </w:tcPr>
          <w:p w14:paraId="229896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01514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1A39905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0306B8A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736" w:type="dxa"/>
            <w:vAlign w:val="center"/>
          </w:tcPr>
          <w:p w14:paraId="75E08A5D">
            <w:pPr>
              <w:pStyle w:val="14"/>
              <w:rPr>
                <w:rFonts w:eastAsiaTheme="minorEastAsia"/>
              </w:rPr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564" w:type="dxa"/>
            <w:vAlign w:val="center"/>
          </w:tcPr>
          <w:p w14:paraId="5C5D1317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1E3EADBB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6025708B">
            <w:pPr>
              <w:pStyle w:val="14"/>
            </w:pPr>
          </w:p>
        </w:tc>
      </w:tr>
      <w:tr w14:paraId="1F0E007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D9F28F0">
            <w:pPr>
              <w:pStyle w:val="14"/>
            </w:pPr>
            <w:r>
              <w:t>2</w:t>
            </w:r>
          </w:p>
        </w:tc>
        <w:tc>
          <w:tcPr>
            <w:tcW w:w="1736" w:type="dxa"/>
            <w:vAlign w:val="center"/>
          </w:tcPr>
          <w:p w14:paraId="77C50354">
            <w:pPr>
              <w:pStyle w:val="14"/>
              <w:rPr>
                <w:rFonts w:eastAsiaTheme="minorEastAsia"/>
              </w:rPr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564" w:type="dxa"/>
            <w:vAlign w:val="center"/>
          </w:tcPr>
          <w:p w14:paraId="03F156D1">
            <w:pPr>
              <w:pStyle w:val="14"/>
            </w:pPr>
          </w:p>
        </w:tc>
        <w:tc>
          <w:tcPr>
            <w:tcW w:w="1630" w:type="dxa"/>
            <w:vAlign w:val="center"/>
          </w:tcPr>
          <w:p w14:paraId="6A8AA5F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3824B554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  <w:tr w14:paraId="21938EC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07591C1">
            <w:pPr>
              <w:pStyle w:val="14"/>
            </w:pPr>
            <w:r>
              <w:t>3</w:t>
            </w:r>
          </w:p>
        </w:tc>
        <w:tc>
          <w:tcPr>
            <w:tcW w:w="1736" w:type="dxa"/>
            <w:vAlign w:val="center"/>
          </w:tcPr>
          <w:p w14:paraId="58594B37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39B1A42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3C37F32D">
            <w:pPr>
              <w:pStyle w:val="14"/>
            </w:pP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07877AA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  <w:tr w14:paraId="5E49CE7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2322BDF">
            <w:pPr>
              <w:pStyle w:val="14"/>
            </w:pPr>
            <w:r>
              <w:t>4</w:t>
            </w:r>
          </w:p>
        </w:tc>
        <w:tc>
          <w:tcPr>
            <w:tcW w:w="1736" w:type="dxa"/>
            <w:vAlign w:val="center"/>
          </w:tcPr>
          <w:p w14:paraId="40FCF102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0971AFFC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3220195D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237049CD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</w:tbl>
    <w:p w14:paraId="76375072"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745D5E">
        <w:tc>
          <w:tcPr>
            <w:tcW w:w="8296" w:type="dxa"/>
          </w:tcPr>
          <w:p w14:paraId="271CB529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本课程采用多元化教学方法，包括听说读写等综合训练。主要方法包括课堂教学、语音练习、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背诵课文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任务教学</w:t>
            </w:r>
            <w:r>
              <w:rPr>
                <w:rFonts w:hint="eastAsia" w:ascii="仿宋" w:hAnsi="仿宋" w:eastAsia="仿宋" w:cs="仿宋"/>
                <w:szCs w:val="21"/>
              </w:rPr>
              <w:t>等。通过激发学生兴趣，培养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学生综合运动以及</w:t>
            </w:r>
            <w:r>
              <w:rPr>
                <w:rFonts w:hint="eastAsia" w:ascii="仿宋" w:hAnsi="仿宋" w:eastAsia="仿宋" w:cs="仿宋"/>
                <w:szCs w:val="21"/>
              </w:rPr>
              <w:t>日常交际能力。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具体新意体现在：</w:t>
            </w:r>
          </w:p>
          <w:p w14:paraId="6D0D017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用现代信息技术手段：通过互联网实现知识资源的共享，如电子教案、电子图书和教学课件的上网，打破了时空界限，为学生提供了自主学习的有利条件。此外，通过互联网实现相关知识的同步搜索，拓宽了学科知识的范围，并利用信息技术手段作为模拟教学、案例教学、讨论等教学方式的有效辅助形式。</w:t>
            </w:r>
          </w:p>
          <w:p w14:paraId="58BF1C4A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造探究氛围引导合作交流：教师在课堂上努力营造学生自主探究和合作交流的氛围，有意识地给学生创造一个探究问题的平台。通过各小组学生展示、合作学习，强化人人参与，提高小组协作能力，培养了学生自主学习的能力。</w:t>
            </w:r>
          </w:p>
        </w:tc>
      </w:tr>
    </w:tbl>
    <w:p w14:paraId="4C801E82"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3"/>
        <w:gridCol w:w="668"/>
        <w:gridCol w:w="717"/>
      </w:tblGrid>
      <w:tr w14:paraId="2F985630"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40D5C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02F801D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7AF82D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D30268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BDA30EC"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  <w:vAlign w:val="top"/>
          </w:tcPr>
          <w:p w14:paraId="62234D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  <w:vAlign w:val="top"/>
          </w:tcPr>
          <w:p w14:paraId="10DDE7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vAlign w:val="top"/>
          </w:tcPr>
          <w:p w14:paraId="72B05F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05130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03379D1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F9CDF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B9F2A5E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8D7E1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041" w:type="dxa"/>
            <w:vAlign w:val="center"/>
          </w:tcPr>
          <w:p w14:paraId="01A43A7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4AC5F1F1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0E24C74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010370C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062712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03C17EB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31BD1E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0BD699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5649726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8" w:type="dxa"/>
            <w:vAlign w:val="center"/>
          </w:tcPr>
          <w:p w14:paraId="237BD5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CA8D97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7B8A5797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84A2E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041" w:type="dxa"/>
            <w:vAlign w:val="center"/>
          </w:tcPr>
          <w:p w14:paraId="4D0864E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6A7A12B0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4B9B87B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3737B71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0F3F7FE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476290F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230DB5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1CD8E6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309948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2ADDAF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554B30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284FEFF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6BB02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041" w:type="dxa"/>
            <w:vAlign w:val="center"/>
          </w:tcPr>
          <w:p w14:paraId="4CC5FA9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503AAFE0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688A44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7D4FF56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1330F5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26B417A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03A49F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30324A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49D690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15FD55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3F60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2EF140A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2B9AB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3041" w:type="dxa"/>
            <w:vAlign w:val="center"/>
          </w:tcPr>
          <w:p w14:paraId="13C96B0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7C3F0FF3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05C460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420F7D0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0BF262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0E0B9D8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7942F34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5939ED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13783C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702711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91E15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</w:tbl>
    <w:p w14:paraId="61ADBC99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bookmarkStart w:id="4" w:name="_GoBack"/>
      <w:bookmarkEnd w:id="4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476F6F5A">
        <w:trPr>
          <w:trHeight w:val="454" w:hRule="atLeast"/>
        </w:trPr>
        <w:tc>
          <w:tcPr>
            <w:tcW w:w="1299" w:type="dxa"/>
            <w:vAlign w:val="center"/>
          </w:tcPr>
          <w:p w14:paraId="11A68737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6C4BAD32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12D9CE0B">
        <w:trPr>
          <w:trHeight w:val="454" w:hRule="atLeast"/>
        </w:trPr>
        <w:tc>
          <w:tcPr>
            <w:tcW w:w="1299" w:type="dxa"/>
            <w:vAlign w:val="center"/>
          </w:tcPr>
          <w:p w14:paraId="6F6A70F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177" w:type="dxa"/>
            <w:vAlign w:val="center"/>
          </w:tcPr>
          <w:p w14:paraId="3CFE3D00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公司的各种交际方式，</w:t>
            </w:r>
            <w:r>
              <w:rPr>
                <w:rFonts w:hint="eastAsia"/>
              </w:rPr>
              <w:t>比较日本与中国的</w:t>
            </w:r>
            <w:r>
              <w:rPr>
                <w:rFonts w:hint="eastAsia"/>
                <w:lang w:val="en-US" w:eastAsia="zh-CN"/>
              </w:rPr>
              <w:t>交际方</w:t>
            </w:r>
            <w:r>
              <w:rPr>
                <w:rFonts w:hint="eastAsia"/>
              </w:rPr>
              <w:t>式，分析背后的</w:t>
            </w:r>
            <w:r>
              <w:rPr>
                <w:rFonts w:hint="eastAsia"/>
                <w:lang w:val="en-US" w:eastAsia="zh-CN"/>
              </w:rPr>
              <w:t>中国独特的文化</w:t>
            </w:r>
            <w:r>
              <w:rPr>
                <w:rFonts w:hint="eastAsia"/>
              </w:rPr>
              <w:t>传统。培养学生跨文化理解与包容能力，</w:t>
            </w:r>
            <w:r>
              <w:rPr>
                <w:rFonts w:hint="eastAsia"/>
                <w:lang w:val="en-US" w:eastAsia="zh-CN"/>
              </w:rPr>
              <w:t>增加文化自信</w:t>
            </w:r>
            <w:r>
              <w:rPr>
                <w:rFonts w:hint="eastAsia"/>
              </w:rPr>
              <w:t>。</w:t>
            </w:r>
          </w:p>
        </w:tc>
      </w:tr>
      <w:tr w14:paraId="127220BC">
        <w:trPr>
          <w:trHeight w:val="454" w:hRule="atLeast"/>
        </w:trPr>
        <w:tc>
          <w:tcPr>
            <w:tcW w:w="1299" w:type="dxa"/>
            <w:vAlign w:val="center"/>
          </w:tcPr>
          <w:p w14:paraId="03873971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177" w:type="dxa"/>
            <w:vAlign w:val="center"/>
          </w:tcPr>
          <w:p w14:paraId="031EDFF9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旅游的</w:t>
            </w:r>
            <w:r>
              <w:rPr>
                <w:rFonts w:hint="eastAsia"/>
              </w:rPr>
              <w:t>文化</w:t>
            </w:r>
            <w:r>
              <w:rPr>
                <w:rFonts w:hint="eastAsia"/>
                <w:lang w:val="en-US" w:eastAsia="zh-CN"/>
              </w:rPr>
              <w:t>以及各种</w:t>
            </w:r>
            <w:r>
              <w:rPr>
                <w:rFonts w:hint="eastAsia"/>
              </w:rPr>
              <w:t>礼仪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习俗。</w:t>
            </w:r>
            <w:r>
              <w:rPr>
                <w:rFonts w:hint="eastAsia" w:eastAsia="ＭＳ 明朝"/>
                <w:lang w:eastAsia="ja-JP"/>
              </w:rPr>
              <w:t>提唱</w:t>
            </w:r>
            <w:r>
              <w:rPr>
                <w:rFonts w:hint="eastAsia"/>
              </w:rPr>
              <w:t>尊重他人习惯的能力，促进跨文化交流与理解。</w:t>
            </w:r>
          </w:p>
        </w:tc>
      </w:tr>
      <w:tr w14:paraId="12D7D3F5">
        <w:trPr>
          <w:trHeight w:val="454" w:hRule="atLeast"/>
        </w:trPr>
        <w:tc>
          <w:tcPr>
            <w:tcW w:w="1299" w:type="dxa"/>
            <w:vAlign w:val="center"/>
          </w:tcPr>
          <w:p w14:paraId="39770B40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177" w:type="dxa"/>
            <w:vAlign w:val="center"/>
          </w:tcPr>
          <w:p w14:paraId="510429E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的地域文化知识</w:t>
            </w:r>
            <w:r>
              <w:rPr>
                <w:rFonts w:hint="eastAsia"/>
              </w:rPr>
              <w:t>、探讨</w:t>
            </w:r>
            <w:r>
              <w:rPr>
                <w:rFonts w:hint="eastAsia"/>
                <w:lang w:val="en-US" w:eastAsia="zh-CN"/>
              </w:rPr>
              <w:t>日本文化所受到的汉文化的</w:t>
            </w:r>
            <w:r>
              <w:rPr>
                <w:rFonts w:hint="eastAsia"/>
              </w:rPr>
              <w:t>文化内涵与价值观，比较与本国的异同。</w:t>
            </w:r>
          </w:p>
        </w:tc>
      </w:tr>
    </w:tbl>
    <w:p w14:paraId="3A04292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29"/>
        <w:gridCol w:w="914"/>
        <w:gridCol w:w="922"/>
        <w:gridCol w:w="706"/>
      </w:tblGrid>
      <w:tr w14:paraId="1F581E1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BDDC4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EDB353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E47F16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EAAF85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D3298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F67A1CA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DA0C3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80A767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9A5550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2E024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B5BB02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14:paraId="55E785C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 w14:paraId="36F5C90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F5CBF4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FE140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C71972">
            <w:pPr>
              <w:widowControl w:val="0"/>
              <w:snapToGrid w:val="0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  <w:vAlign w:val="center"/>
          </w:tcPr>
          <w:p w14:paraId="3BC90AEB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827A4C1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0"/>
                <w:lang w:val="en-US" w:eastAsia="zh-CN"/>
              </w:rPr>
              <w:t>课堂测验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3C90D7D9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 xml:space="preserve">  </w:t>
            </w:r>
            <w:r>
              <w:t xml:space="preserve"> 9%</w:t>
            </w:r>
          </w:p>
        </w:tc>
        <w:tc>
          <w:tcPr>
            <w:tcW w:w="929" w:type="dxa"/>
            <w:vAlign w:val="center"/>
          </w:tcPr>
          <w:p w14:paraId="3A2558F8">
            <w:pPr>
              <w:pStyle w:val="14"/>
              <w:widowControl w:val="0"/>
            </w:pPr>
            <w:r>
              <w:t>18%</w:t>
            </w:r>
          </w:p>
        </w:tc>
        <w:tc>
          <w:tcPr>
            <w:tcW w:w="914" w:type="dxa"/>
            <w:vAlign w:val="center"/>
          </w:tcPr>
          <w:p w14:paraId="79860F40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4%</w:t>
            </w:r>
          </w:p>
        </w:tc>
        <w:tc>
          <w:tcPr>
            <w:tcW w:w="922" w:type="dxa"/>
            <w:vAlign w:val="center"/>
          </w:tcPr>
          <w:p w14:paraId="347CB7C5">
            <w:pPr>
              <w:pStyle w:val="14"/>
              <w:widowControl w:val="0"/>
            </w:pPr>
            <w:r>
              <w:t>9%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E8B2A2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14:paraId="40F553F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6A46E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730DB54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467FCDA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345704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71FB94AB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1C352B25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4A403B46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DCB270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  <w:tr w14:paraId="0A6553C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F65BB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491AEE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B80E722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AA4531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.5%</w:t>
            </w:r>
          </w:p>
        </w:tc>
        <w:tc>
          <w:tcPr>
            <w:tcW w:w="929" w:type="dxa"/>
            <w:vAlign w:val="center"/>
          </w:tcPr>
          <w:p w14:paraId="4DD4FFC2">
            <w:pPr>
              <w:pStyle w:val="14"/>
              <w:widowControl w:val="0"/>
            </w:pPr>
            <w:r>
              <w:t>3%</w:t>
            </w:r>
          </w:p>
        </w:tc>
        <w:tc>
          <w:tcPr>
            <w:tcW w:w="914" w:type="dxa"/>
            <w:vAlign w:val="center"/>
          </w:tcPr>
          <w:p w14:paraId="32AB67C9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78C18355">
            <w:pPr>
              <w:pStyle w:val="14"/>
              <w:widowControl w:val="0"/>
            </w:pPr>
            <w:r>
              <w:t>1.5%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CDB38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</w:tr>
      <w:tr w14:paraId="7D544D0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0D590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7FF435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2B43A8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47E7524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57CAFBC1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1F4F90F3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2D35BBA4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86AC86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</w:tbl>
    <w:p w14:paraId="7854BB49">
      <w:pPr>
        <w:pStyle w:val="16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ＭＳ 明朝">
    <w:altName w:val="Hiragino Sans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A019">
    <w:pPr>
      <w:jc w:val="right"/>
      <w:rPr>
        <w:rFonts w:ascii="方正小标宋简体" w:hAnsi="方正小标宋简体" w:eastAsia="方正小标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NmMzgzMzJhYzQ2M2I4MmJjMmQyYjA1OGI1OGE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0FFF2ACC"/>
    <w:rsid w:val="10846779"/>
    <w:rsid w:val="10BD2C22"/>
    <w:rsid w:val="12091F8F"/>
    <w:rsid w:val="136D56FC"/>
    <w:rsid w:val="14AA2307"/>
    <w:rsid w:val="22987C80"/>
    <w:rsid w:val="24192CCC"/>
    <w:rsid w:val="25110BCA"/>
    <w:rsid w:val="28090A48"/>
    <w:rsid w:val="28687E65"/>
    <w:rsid w:val="2A3D718F"/>
    <w:rsid w:val="326A6A8B"/>
    <w:rsid w:val="378D7488"/>
    <w:rsid w:val="39A66CD4"/>
    <w:rsid w:val="3AF00A02"/>
    <w:rsid w:val="3CD52CE1"/>
    <w:rsid w:val="406D4316"/>
    <w:rsid w:val="410F2E6A"/>
    <w:rsid w:val="4430136C"/>
    <w:rsid w:val="4AB0382B"/>
    <w:rsid w:val="4B205712"/>
    <w:rsid w:val="51FF2800"/>
    <w:rsid w:val="55EC3617"/>
    <w:rsid w:val="569868B5"/>
    <w:rsid w:val="5A114B53"/>
    <w:rsid w:val="5CB77F77"/>
    <w:rsid w:val="611F6817"/>
    <w:rsid w:val="66CA1754"/>
    <w:rsid w:val="68AD66CB"/>
    <w:rsid w:val="68FF4E51"/>
    <w:rsid w:val="6E881C9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2748</Words>
  <Characters>2913</Characters>
  <Lines>6</Lines>
  <Paragraphs>1</Paragraphs>
  <TotalTime>0</TotalTime>
  <ScaleCrop>false</ScaleCrop>
  <LinksUpToDate>false</LinksUpToDate>
  <CharactersWithSpaces>2949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2023-10-21T15:24:00Z</dcterms:created>
  <dc:creator>juvg</dc:creator>
  <cp:lastModifiedBy>假字稻遮劳</cp:lastModifiedBy>
  <cp:lastPrinted>2023-10-23T12:11:00Z</cp:lastPrinted>
  <dcterms:modified xsi:type="dcterms:W3CDTF">2024-09-25T22:06:53Z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8C897459CA024330894CCC3CCEAB4837_13</vt:lpwstr>
  </property>
</Properties>
</file>