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8469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sz w:val="32"/>
          <w:szCs w:val="32"/>
        </w:rPr>
        <w:t>大学日语1</w:t>
      </w:r>
      <w:r>
        <w:rPr>
          <w:rFonts w:ascii="黑体" w:hAnsi="黑体" w:eastAsia="黑体"/>
          <w:bCs/>
          <w:sz w:val="32"/>
          <w:szCs w:val="32"/>
        </w:rPr>
        <w:t xml:space="preserve">  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6ECD5700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F3F16DE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30D10A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09C107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（中文）大学日语1</w:t>
            </w:r>
          </w:p>
        </w:tc>
      </w:tr>
      <w:tr w14:paraId="58C56DDA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B206D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1BC1D85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（英文）College Japanese3</w:t>
            </w:r>
          </w:p>
        </w:tc>
      </w:tr>
      <w:tr w14:paraId="4EA489D6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8F871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2020336</w:t>
            </w:r>
          </w:p>
        </w:tc>
        <w:tc>
          <w:tcPr>
            <w:tcW w:w="2126" w:type="dxa"/>
            <w:gridSpan w:val="2"/>
            <w:vAlign w:val="center"/>
          </w:tcPr>
          <w:p w14:paraId="066EC97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333A096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44B5535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5B68D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72" w:type="dxa"/>
            <w:vAlign w:val="center"/>
          </w:tcPr>
          <w:p w14:paraId="6C85515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413" w:type="dxa"/>
            <w:gridSpan w:val="2"/>
            <w:vAlign w:val="center"/>
          </w:tcPr>
          <w:p w14:paraId="4EB60CA9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C369051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0C72B9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BEEB0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外国语学院日语系</w:t>
            </w:r>
          </w:p>
        </w:tc>
        <w:tc>
          <w:tcPr>
            <w:tcW w:w="2126" w:type="dxa"/>
            <w:gridSpan w:val="2"/>
            <w:vAlign w:val="center"/>
          </w:tcPr>
          <w:p w14:paraId="74D5506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679FC0C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全校专业1年级</w:t>
            </w:r>
          </w:p>
        </w:tc>
      </w:tr>
      <w:tr w14:paraId="0376D2B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2CF26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通识教育基础</w:t>
            </w:r>
          </w:p>
        </w:tc>
        <w:tc>
          <w:tcPr>
            <w:tcW w:w="2126" w:type="dxa"/>
            <w:gridSpan w:val="2"/>
            <w:vAlign w:val="center"/>
          </w:tcPr>
          <w:p w14:paraId="4AAB6BF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D5A7CE9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4385941B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7F32D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FB51935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《中日交流标准日本语 初级（上）》</w:t>
            </w:r>
          </w:p>
          <w:p w14:paraId="07769783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人民教育出版社，2022年6月</w:t>
            </w:r>
          </w:p>
        </w:tc>
        <w:tc>
          <w:tcPr>
            <w:tcW w:w="1413" w:type="dxa"/>
            <w:gridSpan w:val="2"/>
            <w:vAlign w:val="center"/>
          </w:tcPr>
          <w:p w14:paraId="25D25D8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10C358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ACE32F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C56CF89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5B0D8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F229263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无</w:t>
            </w:r>
          </w:p>
        </w:tc>
      </w:tr>
      <w:tr w14:paraId="1C8B1152">
        <w:trPr>
          <w:trHeight w:val="3421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64801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202FE03">
            <w:pPr>
              <w:widowControl w:val="0"/>
              <w:ind w:firstLine="400" w:firstLineChars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《大学日语1》</w:t>
            </w:r>
            <w:r>
              <w:rPr>
                <w:color w:val="000000"/>
                <w:sz w:val="20"/>
                <w:szCs w:val="20"/>
              </w:rPr>
              <w:t>是面向全校</w:t>
            </w: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color w:val="000000"/>
                <w:sz w:val="20"/>
                <w:szCs w:val="20"/>
              </w:rPr>
              <w:t>专业学生</w:t>
            </w:r>
            <w:r>
              <w:rPr>
                <w:rFonts w:hint="eastAsia"/>
                <w:color w:val="000000"/>
                <w:sz w:val="20"/>
                <w:szCs w:val="20"/>
              </w:rPr>
              <w:t>开设的一门专业特色课程，</w:t>
            </w:r>
            <w:r>
              <w:rPr>
                <w:color w:val="000000"/>
                <w:sz w:val="20"/>
                <w:szCs w:val="20"/>
              </w:rPr>
              <w:t>教授入门和基础阶段的日语基础知识，通过听说读写译的基本训练，掌握日语基础知识、基本技能以及日语学习策略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color w:val="000000"/>
                <w:sz w:val="20"/>
                <w:szCs w:val="20"/>
              </w:rPr>
              <w:t>课程教学任务是培养学生具有一定的日语阅读能力，初步的听说写译能力</w:t>
            </w:r>
            <w:r>
              <w:rPr>
                <w:rFonts w:hint="eastAsia"/>
                <w:color w:val="000000"/>
                <w:sz w:val="20"/>
                <w:szCs w:val="20"/>
              </w:rPr>
              <w:t>等</w:t>
            </w:r>
            <w:r>
              <w:rPr>
                <w:color w:val="000000"/>
                <w:sz w:val="20"/>
                <w:szCs w:val="20"/>
              </w:rPr>
              <w:t>初步的日语综合运用能力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使学生能够以日语为工具，获取专业所需要的信息，为今后继续学习日语打下基础。</w:t>
            </w:r>
          </w:p>
          <w:p w14:paraId="67D78B5C">
            <w:pPr>
              <w:widowControl w:val="0"/>
              <w:ind w:firstLine="400" w:firstLineChars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</w:t>
            </w:r>
            <w:r>
              <w:rPr>
                <w:color w:val="000000"/>
                <w:sz w:val="20"/>
                <w:szCs w:val="20"/>
              </w:rPr>
              <w:t>要求学生掌握日语的发音、正确书写假名，掌握一定数量的日语汉字和单词，掌握基本句型和语法，能够进行简单的寒暄语和日常会话。</w:t>
            </w:r>
          </w:p>
          <w:p w14:paraId="2F9259C8">
            <w:pPr>
              <w:pStyle w:val="14"/>
              <w:widowControl w:val="0"/>
              <w:jc w:val="both"/>
            </w:pPr>
            <w:r>
              <w:rPr>
                <w:rFonts w:ascii="宋体" w:hAnsi="宋体"/>
                <w:sz w:val="20"/>
                <w:szCs w:val="20"/>
              </w:rPr>
              <w:t>此外，课程还将通过丰富的教学资源和互动活动，促进学生在语言学习过程中的全面发展，使他们不仅学会</w:t>
            </w:r>
            <w:r>
              <w:rPr>
                <w:rFonts w:hint="eastAsia" w:ascii="宋体" w:hAnsi="宋体"/>
                <w:sz w:val="20"/>
                <w:szCs w:val="20"/>
              </w:rPr>
              <w:t>日语运用</w:t>
            </w:r>
            <w:r>
              <w:rPr>
                <w:rFonts w:ascii="宋体" w:hAnsi="宋体"/>
                <w:sz w:val="20"/>
                <w:szCs w:val="20"/>
              </w:rPr>
              <w:t>技能，更能深入了解日本社会及其语言的背景和意义。</w:t>
            </w:r>
          </w:p>
        </w:tc>
      </w:tr>
      <w:tr w14:paraId="4D307D10">
        <w:trPr>
          <w:trHeight w:val="55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E242B1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C95E2F3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本课程在全校各专业一年级上学期开设。</w:t>
            </w:r>
          </w:p>
        </w:tc>
      </w:tr>
      <w:tr w14:paraId="3B9F0F24">
        <w:trPr>
          <w:trHeight w:val="68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83AA12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C456D45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7592E28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EEAAA9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0717CE0D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14990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482600" cy="348615"/>
                  <wp:effectExtent l="0" t="0" r="0" b="6985"/>
                  <wp:docPr id="2" name="图片 2" descr="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50" cy="349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18025E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34D49D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49288E96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7487AA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学院批准人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729524EA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23495</wp:posOffset>
                  </wp:positionV>
                  <wp:extent cx="793115" cy="480695"/>
                  <wp:effectExtent l="0" t="0" r="0" b="1905"/>
                  <wp:wrapNone/>
                  <wp:docPr id="1570903144" name="图片 1570903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903144" name="图片 1570903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480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F4A3339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65EC5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  <w:bookmarkStart w:id="4" w:name="_GoBack"/>
            <w:bookmarkEnd w:id="4"/>
          </w:p>
        </w:tc>
      </w:tr>
    </w:tbl>
    <w:p w14:paraId="0E671D4E">
      <w:pPr>
        <w:spacing w:line="100" w:lineRule="exact"/>
        <w:rPr>
          <w:rFonts w:ascii="Arial" w:hAnsi="Arial" w:eastAsia="黑体"/>
        </w:rPr>
      </w:pPr>
      <w:r>
        <w:br w:type="page"/>
      </w:r>
    </w:p>
    <w:p w14:paraId="33F2E72F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二、毕业要求与课程目标</w:t>
      </w:r>
    </w:p>
    <w:p w14:paraId="089BD5FC">
      <w:pPr>
        <w:pStyle w:val="17"/>
        <w:spacing w:before="81" w:after="163"/>
      </w:pPr>
      <w:r>
        <w:rPr>
          <w:rFonts w:hint="eastAsia"/>
        </w:rPr>
        <w:t>（一）课程支撑的毕业要求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90"/>
        <w:gridCol w:w="6444"/>
        <w:gridCol w:w="942"/>
      </w:tblGrid>
      <w:tr w14:paraId="535457A0">
        <w:trPr>
          <w:trHeight w:val="680" w:hRule="atLeast"/>
          <w:jc w:val="center"/>
        </w:trPr>
        <w:tc>
          <w:tcPr>
            <w:tcW w:w="1064" w:type="dxa"/>
            <w:vAlign w:val="center"/>
          </w:tcPr>
          <w:p w14:paraId="4A073DA8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毕业要求序号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5D6CEB34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毕业要求/指标点</w:t>
            </w:r>
          </w:p>
        </w:tc>
        <w:tc>
          <w:tcPr>
            <w:tcW w:w="920" w:type="dxa"/>
            <w:vAlign w:val="center"/>
          </w:tcPr>
          <w:p w14:paraId="1CAA7B99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支撑度</w:t>
            </w:r>
          </w:p>
        </w:tc>
      </w:tr>
      <w:tr w14:paraId="2334AC37"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165E1DEA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/>
                <w:bCs/>
              </w:rPr>
              <w:t>LO21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5B2740F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</w:rPr>
              <w:t>能根据需要自己确定学习目标，并设计学习计划。</w:t>
            </w:r>
          </w:p>
        </w:tc>
        <w:tc>
          <w:tcPr>
            <w:tcW w:w="920" w:type="dxa"/>
            <w:vAlign w:val="center"/>
          </w:tcPr>
          <w:p w14:paraId="52D7285F">
            <w:pPr>
              <w:pStyle w:val="14"/>
              <w:rPr>
                <w:rFonts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L</w:t>
            </w:r>
          </w:p>
        </w:tc>
      </w:tr>
      <w:tr w14:paraId="3C7B6F84"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3FBFECA7">
            <w:pPr>
              <w:pStyle w:val="14"/>
              <w:rPr>
                <w:bCs/>
              </w:rPr>
            </w:pPr>
            <w:r>
              <w:rPr>
                <w:rFonts w:hint="eastAsia"/>
                <w:bCs/>
              </w:rPr>
              <w:t>LO31-1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6BF7C71">
            <w:pPr>
              <w:pStyle w:val="14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920" w:type="dxa"/>
            <w:vAlign w:val="center"/>
          </w:tcPr>
          <w:p w14:paraId="403E98DF">
            <w:pPr>
              <w:pStyle w:val="14"/>
              <w:rPr>
                <w:rFonts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H</w:t>
            </w:r>
          </w:p>
        </w:tc>
      </w:tr>
      <w:tr w14:paraId="5CA81694"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68824ABE">
            <w:pPr>
              <w:pStyle w:val="14"/>
              <w:rPr>
                <w:bCs/>
              </w:rPr>
            </w:pPr>
            <w:r>
              <w:rPr>
                <w:rFonts w:hint="eastAsia"/>
                <w:bCs/>
              </w:rPr>
              <w:t>LO31-2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9DBB886">
            <w:pPr>
              <w:pStyle w:val="14"/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</w:rPr>
              <w:t>掌握正确的发音，能够使用日语进行交流与表达。</w:t>
            </w:r>
          </w:p>
        </w:tc>
        <w:tc>
          <w:tcPr>
            <w:tcW w:w="920" w:type="dxa"/>
            <w:vAlign w:val="center"/>
          </w:tcPr>
          <w:p w14:paraId="213A825E">
            <w:pPr>
              <w:pStyle w:val="14"/>
              <w:rPr>
                <w:rFonts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M</w:t>
            </w:r>
          </w:p>
        </w:tc>
      </w:tr>
    </w:tbl>
    <w:p w14:paraId="6A27BE0A">
      <w:pPr>
        <w:pStyle w:val="17"/>
        <w:spacing w:before="81" w:after="163"/>
      </w:pPr>
      <w:r>
        <w:rPr>
          <w:rFonts w:hint="eastAsia"/>
        </w:rPr>
        <w:t xml:space="preserve">（二）毕业要求与课程目标的关系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99"/>
        <w:gridCol w:w="925"/>
        <w:gridCol w:w="5502"/>
        <w:gridCol w:w="950"/>
      </w:tblGrid>
      <w:tr w14:paraId="1D1B3644">
        <w:trPr>
          <w:trHeight w:val="680" w:hRule="atLeast"/>
          <w:jc w:val="center"/>
        </w:trPr>
        <w:tc>
          <w:tcPr>
            <w:tcW w:w="1073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63E7184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毕业要求序号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8888B2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课程目标序号</w:t>
            </w:r>
          </w:p>
        </w:tc>
        <w:tc>
          <w:tcPr>
            <w:tcW w:w="537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94F626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57E362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（细化的预期学习成果）</w:t>
            </w:r>
          </w:p>
        </w:tc>
        <w:tc>
          <w:tcPr>
            <w:tcW w:w="92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5F1176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课程目标类型</w:t>
            </w:r>
          </w:p>
        </w:tc>
      </w:tr>
      <w:tr w14:paraId="5907D373">
        <w:trPr>
          <w:trHeight w:val="340" w:hRule="atLeast"/>
          <w:jc w:val="center"/>
        </w:trPr>
        <w:tc>
          <w:tcPr>
            <w:tcW w:w="1073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7FD8780">
            <w:pPr>
              <w:pStyle w:val="14"/>
            </w:pPr>
            <w:r>
              <w:rPr>
                <w:rFonts w:hint="eastAsia"/>
                <w:bCs/>
              </w:rPr>
              <w:t>LO21</w:t>
            </w:r>
          </w:p>
        </w:tc>
        <w:tc>
          <w:tcPr>
            <w:tcW w:w="903" w:type="dxa"/>
            <w:tcBorders>
              <w:left w:val="single" w:color="auto" w:sz="4" w:space="0"/>
            </w:tcBorders>
            <w:vAlign w:val="center"/>
          </w:tcPr>
          <w:p w14:paraId="14440734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1-1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0D5173B">
            <w:pPr>
              <w:pStyle w:val="14"/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</w:rPr>
              <w:t>能根据需要自己确定学习目标，并设计学习计划。</w:t>
            </w:r>
          </w:p>
        </w:tc>
        <w:tc>
          <w:tcPr>
            <w:tcW w:w="928" w:type="dxa"/>
            <w:tcBorders>
              <w:right w:val="single" w:color="auto" w:sz="12" w:space="0"/>
            </w:tcBorders>
            <w:vAlign w:val="center"/>
          </w:tcPr>
          <w:p w14:paraId="59E8F4E5">
            <w:pPr>
              <w:pStyle w:val="14"/>
              <w:rPr>
                <w:rFonts w:hint="eastAsia" w:ascii="宋体" w:hAnsi="宋体" w:eastAsia="MS Mincho"/>
                <w:bCs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lang w:eastAsia="ja-JP"/>
              </w:rPr>
              <w:t>②</w:t>
            </w:r>
          </w:p>
        </w:tc>
      </w:tr>
      <w:tr w14:paraId="7B63C8C6">
        <w:trPr>
          <w:trHeight w:val="340" w:hRule="atLeast"/>
          <w:jc w:val="center"/>
        </w:trPr>
        <w:tc>
          <w:tcPr>
            <w:tcW w:w="1073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2BD0925">
            <w:pPr>
              <w:pStyle w:val="14"/>
            </w:pPr>
            <w:r>
              <w:rPr>
                <w:rFonts w:hint="eastAsia"/>
                <w:bCs/>
              </w:rPr>
              <w:t>LO31-1</w:t>
            </w:r>
          </w:p>
        </w:tc>
        <w:tc>
          <w:tcPr>
            <w:tcW w:w="903" w:type="dxa"/>
            <w:tcBorders>
              <w:left w:val="single" w:color="auto" w:sz="4" w:space="0"/>
            </w:tcBorders>
            <w:vAlign w:val="center"/>
          </w:tcPr>
          <w:p w14:paraId="29147B87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2-1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1D3AE88">
            <w:pPr>
              <w:pStyle w:val="14"/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928" w:type="dxa"/>
            <w:tcBorders>
              <w:right w:val="single" w:color="auto" w:sz="12" w:space="0"/>
            </w:tcBorders>
            <w:vAlign w:val="center"/>
          </w:tcPr>
          <w:p w14:paraId="00DB62A3">
            <w:pPr>
              <w:pStyle w:val="14"/>
              <w:rPr>
                <w:rFonts w:hint="eastAsia" w:ascii="宋体" w:hAnsi="宋体" w:eastAsia="MS Mincho"/>
                <w:bCs/>
                <w:lang w:eastAsia="ja-JP"/>
              </w:rPr>
            </w:pPr>
            <w:r>
              <w:rPr>
                <w:rFonts w:hint="eastAsia" w:ascii="宋体" w:hAnsi="宋体" w:eastAsia="MS Mincho"/>
                <w:bCs/>
                <w:lang w:eastAsia="ja-JP"/>
              </w:rPr>
              <w:t>③</w:t>
            </w:r>
          </w:p>
        </w:tc>
      </w:tr>
      <w:tr w14:paraId="305D3F23">
        <w:trPr>
          <w:trHeight w:val="187" w:hRule="atLeast"/>
          <w:jc w:val="center"/>
        </w:trPr>
        <w:tc>
          <w:tcPr>
            <w:tcW w:w="1073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90B46FF">
            <w:pPr>
              <w:pStyle w:val="14"/>
            </w:pPr>
            <w:r>
              <w:rPr>
                <w:rFonts w:hint="eastAsia"/>
                <w:bCs/>
              </w:rPr>
              <w:t>LO31-2</w:t>
            </w:r>
          </w:p>
        </w:tc>
        <w:tc>
          <w:tcPr>
            <w:tcW w:w="903" w:type="dxa"/>
            <w:tcBorders>
              <w:left w:val="single" w:color="auto" w:sz="4" w:space="0"/>
            </w:tcBorders>
            <w:vAlign w:val="center"/>
          </w:tcPr>
          <w:p w14:paraId="50AF8299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2-2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831F8E0">
            <w:pPr>
              <w:pStyle w:val="14"/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</w:rPr>
              <w:t>掌握正确的发音，能够使用日语进行交流与表达。</w:t>
            </w:r>
          </w:p>
        </w:tc>
        <w:tc>
          <w:tcPr>
            <w:tcW w:w="928" w:type="dxa"/>
            <w:tcBorders>
              <w:right w:val="single" w:color="auto" w:sz="12" w:space="0"/>
            </w:tcBorders>
            <w:vAlign w:val="center"/>
          </w:tcPr>
          <w:p w14:paraId="3025ACA7">
            <w:pPr>
              <w:pStyle w:val="14"/>
              <w:rPr>
                <w:rFonts w:hint="eastAsia" w:ascii="宋体" w:hAnsi="宋体" w:eastAsiaTheme="minorEastAsia"/>
                <w:bCs/>
              </w:rPr>
            </w:pPr>
            <w:r>
              <w:rPr>
                <w:rFonts w:hint="eastAsia" w:ascii="MS Mincho" w:hAnsi="MS Mincho" w:eastAsia="MS Mincho"/>
                <w:bCs/>
                <w:lang w:eastAsia="ja-JP"/>
              </w:rPr>
              <w:t>④</w:t>
            </w:r>
          </w:p>
        </w:tc>
      </w:tr>
      <w:tr w14:paraId="6DCB5C84">
        <w:trPr>
          <w:trHeight w:val="340" w:hRule="atLeast"/>
          <w:jc w:val="center"/>
        </w:trPr>
        <w:tc>
          <w:tcPr>
            <w:tcW w:w="8276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72821">
            <w:pPr>
              <w:pStyle w:val="13"/>
            </w:pPr>
            <w:r>
              <w:rPr>
                <w:rFonts w:hint="eastAsia"/>
              </w:rPr>
              <w:t xml:space="preserve">课程目标类型：①课程思政目标 </w:t>
            </w:r>
            <w:r>
              <w:t xml:space="preserve"> </w:t>
            </w:r>
            <w:r>
              <w:rPr>
                <w:rFonts w:hint="eastAsia"/>
              </w:rPr>
              <w:t xml:space="preserve">②知识目标 </w:t>
            </w:r>
            <w:r>
              <w:t xml:space="preserve"> </w:t>
            </w:r>
            <w:r>
              <w:rPr>
                <w:rFonts w:hint="eastAsia"/>
              </w:rPr>
              <w:t xml:space="preserve">③技能目标 </w:t>
            </w:r>
            <w:r>
              <w:t xml:space="preserve"> </w:t>
            </w:r>
            <w:r>
              <w:rPr>
                <w:rFonts w:hint="eastAsia"/>
              </w:rPr>
              <w:t>④素养目标</w:t>
            </w:r>
          </w:p>
        </w:tc>
      </w:tr>
    </w:tbl>
    <w:p w14:paraId="26C79895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DE4CAB0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AD320BA">
        <w:tc>
          <w:tcPr>
            <w:tcW w:w="8296" w:type="dxa"/>
          </w:tcPr>
          <w:p w14:paraId="1EDFF3DE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sz w:val="21"/>
                <w:szCs w:val="21"/>
              </w:rPr>
            </w:pPr>
            <w:bookmarkStart w:id="0" w:name="OLE_LINK6"/>
            <w:bookmarkStart w:id="1" w:name="OLE_LINK5"/>
            <w:r>
              <w:rPr>
                <w:rFonts w:hint="eastAsia" w:cs="仿宋"/>
                <w:sz w:val="21"/>
                <w:szCs w:val="21"/>
              </w:rPr>
              <w:t>第1单元（1、小李赴日）</w:t>
            </w:r>
          </w:p>
          <w:p w14:paraId="7FB67354">
            <w:pPr>
              <w:widowControl w:val="0"/>
              <w:spacing w:line="44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预期学习成果：能够熟练运用日语表达迎接、寒暄等情景，理解相关词汇和句型，能够自信地进行相关对话。</w:t>
            </w:r>
          </w:p>
          <w:p w14:paraId="319D4019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教学内容：1、迎接、寒暄相关的日常用语，如寒暄的询问、交流，计划的制定等；通过对话、角色扮演、听力、阅读等练习，培养学生在实际情境中运用日语进行交流的能力。</w:t>
            </w:r>
          </w:p>
          <w:p w14:paraId="78B0BBC5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第2单元（2、小李的公司生活）</w:t>
            </w:r>
          </w:p>
          <w:p w14:paraId="6F591B6B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cs="仿宋"/>
                <w:sz w:val="21"/>
                <w:szCs w:val="21"/>
              </w:rPr>
              <w:t>预期学习成果：掌握如何用日语表达</w:t>
            </w:r>
            <w:r>
              <w:rPr>
                <w:rFonts w:hint="eastAsia" w:cs="仿宋"/>
                <w:sz w:val="21"/>
                <w:szCs w:val="21"/>
              </w:rPr>
              <w:t>时间</w:t>
            </w:r>
            <w:r>
              <w:rPr>
                <w:rFonts w:cs="仿宋"/>
                <w:sz w:val="21"/>
                <w:szCs w:val="21"/>
              </w:rPr>
              <w:t>、询问、讨论等基本</w:t>
            </w:r>
            <w:r>
              <w:rPr>
                <w:rFonts w:hint="eastAsia" w:cs="仿宋"/>
                <w:sz w:val="21"/>
                <w:szCs w:val="21"/>
              </w:rPr>
              <w:t>日常</w:t>
            </w:r>
            <w:r>
              <w:rPr>
                <w:rFonts w:cs="仿宋"/>
                <w:sz w:val="21"/>
                <w:szCs w:val="21"/>
              </w:rPr>
              <w:t>对话。</w:t>
            </w:r>
          </w:p>
          <w:p w14:paraId="0BEA32C8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cs="仿宋"/>
                <w:sz w:val="21"/>
                <w:szCs w:val="21"/>
              </w:rPr>
              <w:t>教学内容</w:t>
            </w:r>
            <w:r>
              <w:rPr>
                <w:rFonts w:hint="eastAsia" w:cs="仿宋"/>
                <w:sz w:val="21"/>
                <w:szCs w:val="21"/>
              </w:rPr>
              <w:t>：</w:t>
            </w:r>
            <w:r>
              <w:rPr>
                <w:rFonts w:cs="仿宋"/>
                <w:sz w:val="21"/>
                <w:szCs w:val="21"/>
              </w:rPr>
              <w:t>用日语表达</w:t>
            </w:r>
            <w:r>
              <w:rPr>
                <w:rFonts w:hint="eastAsia" w:cs="仿宋"/>
                <w:sz w:val="21"/>
                <w:szCs w:val="21"/>
              </w:rPr>
              <w:t>时间</w:t>
            </w:r>
            <w:r>
              <w:rPr>
                <w:rFonts w:cs="仿宋"/>
                <w:sz w:val="21"/>
                <w:szCs w:val="21"/>
              </w:rPr>
              <w:t>、询问、讨论等基本</w:t>
            </w:r>
            <w:r>
              <w:rPr>
                <w:rFonts w:hint="eastAsia" w:cs="仿宋"/>
                <w:sz w:val="21"/>
                <w:szCs w:val="21"/>
              </w:rPr>
              <w:t>日常</w:t>
            </w:r>
            <w:r>
              <w:rPr>
                <w:rFonts w:cs="仿宋"/>
                <w:sz w:val="21"/>
                <w:szCs w:val="21"/>
              </w:rPr>
              <w:t>对话</w:t>
            </w:r>
            <w:r>
              <w:rPr>
                <w:rFonts w:hint="eastAsia" w:cs="仿宋"/>
                <w:sz w:val="21"/>
                <w:szCs w:val="21"/>
              </w:rPr>
              <w:t>，</w:t>
            </w:r>
            <w:r>
              <w:rPr>
                <w:rFonts w:cs="仿宋"/>
                <w:sz w:val="21"/>
                <w:szCs w:val="21"/>
              </w:rPr>
              <w:t>通过角色扮演和实际对话练习，帮助学生在真实环境中流利地运用这些表达</w:t>
            </w:r>
            <w:r>
              <w:rPr>
                <w:rFonts w:hint="eastAsia" w:cs="仿宋"/>
                <w:sz w:val="21"/>
                <w:szCs w:val="21"/>
              </w:rPr>
              <w:t>，并</w:t>
            </w:r>
            <w:r>
              <w:rPr>
                <w:rFonts w:cs="仿宋"/>
                <w:sz w:val="21"/>
                <w:szCs w:val="21"/>
              </w:rPr>
              <w:t>了解中</w:t>
            </w:r>
            <w:r>
              <w:rPr>
                <w:rFonts w:hint="eastAsia" w:cs="仿宋"/>
                <w:sz w:val="21"/>
                <w:szCs w:val="21"/>
              </w:rPr>
              <w:t>日</w:t>
            </w:r>
            <w:r>
              <w:rPr>
                <w:rFonts w:cs="仿宋"/>
                <w:sz w:val="21"/>
                <w:szCs w:val="21"/>
              </w:rPr>
              <w:t>国的文化习惯，为实际交流提供背景知识。</w:t>
            </w:r>
          </w:p>
          <w:p w14:paraId="32AAD935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第</w:t>
            </w:r>
            <w:r>
              <w:rPr>
                <w:rFonts w:cs="仿宋"/>
                <w:sz w:val="21"/>
                <w:szCs w:val="21"/>
              </w:rPr>
              <w:t>3</w:t>
            </w:r>
            <w:r>
              <w:rPr>
                <w:rFonts w:hint="eastAsia" w:cs="仿宋"/>
                <w:sz w:val="21"/>
                <w:szCs w:val="21"/>
              </w:rPr>
              <w:t>单元（3、小李在箱根）</w:t>
            </w:r>
          </w:p>
          <w:p w14:paraId="54B2BD16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预期学习成果：能够熟练使用日语在餐厅用餐、旅行等。</w:t>
            </w:r>
          </w:p>
          <w:p w14:paraId="1D2A7A82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教学内容：掌握食物相关词汇和句型，学习常用的味道表达等句型。</w:t>
            </w:r>
            <w:r>
              <w:rPr>
                <w:rFonts w:hint="eastAsia" w:cs="仿宋" w:eastAsiaTheme="minorEastAsia"/>
                <w:sz w:val="21"/>
                <w:szCs w:val="21"/>
              </w:rPr>
              <w:t>同时</w:t>
            </w:r>
            <w:r>
              <w:rPr>
                <w:rFonts w:hint="eastAsia" w:cs="仿宋"/>
                <w:sz w:val="21"/>
                <w:szCs w:val="21"/>
              </w:rPr>
              <w:t>通过模拟旅行来提高实际沟通能力，帮助学生更好地理解和适应实际运用场景。</w:t>
            </w:r>
          </w:p>
          <w:p w14:paraId="680CD293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第4单元（4、小李的公司生活、总复习）</w:t>
            </w:r>
          </w:p>
          <w:p w14:paraId="34C4F6D5">
            <w:pPr>
              <w:widowControl w:val="0"/>
              <w:spacing w:line="44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预期学习成果：</w:t>
            </w:r>
            <w:r>
              <w:rPr>
                <w:sz w:val="21"/>
                <w:szCs w:val="21"/>
              </w:rPr>
              <w:t>用日语介绍自己的工作内容、工作时间和工作环境，以及</w:t>
            </w:r>
            <w:r>
              <w:rPr>
                <w:rFonts w:hint="eastAsia"/>
                <w:sz w:val="21"/>
                <w:szCs w:val="21"/>
              </w:rPr>
              <w:t>数量词</w:t>
            </w:r>
            <w:r>
              <w:rPr>
                <w:sz w:val="21"/>
                <w:szCs w:val="21"/>
              </w:rPr>
              <w:t>。</w:t>
            </w:r>
          </w:p>
          <w:p w14:paraId="4EF74C95">
            <w:pPr>
              <w:widowControl w:val="0"/>
              <w:spacing w:line="440" w:lineRule="exact"/>
              <w:jc w:val="both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教学内容：学习“仕事内容”、“勤務時間”</w:t>
            </w:r>
            <w:r>
              <w:rPr>
                <w:rFonts w:hint="eastAsia"/>
                <w:sz w:val="21"/>
                <w:szCs w:val="21"/>
                <w:lang w:eastAsia="ja-JP"/>
              </w:rPr>
              <w:t>等</w:t>
            </w:r>
            <w:r>
              <w:rPr>
                <w:sz w:val="21"/>
                <w:szCs w:val="21"/>
                <w:lang w:eastAsia="ja-JP"/>
              </w:rPr>
              <w:t>，使用句型如“</w:t>
            </w:r>
            <w:r>
              <w:rPr>
                <w:rFonts w:hint="eastAsia" w:ascii="MS PMincho" w:hAnsi="MS PMincho" w:eastAsia="MS PMincho" w:cs="微软雅黑"/>
                <w:sz w:val="21"/>
                <w:szCs w:val="21"/>
                <w:lang w:eastAsia="ja-JP"/>
              </w:rPr>
              <w:t>〜</w:t>
            </w:r>
            <w:r>
              <w:rPr>
                <w:rFonts w:hint="eastAsia" w:ascii="MS PMincho" w:hAnsi="MS PMincho" w:eastAsia="MS PMincho"/>
                <w:sz w:val="21"/>
                <w:szCs w:val="21"/>
                <w:lang w:eastAsia="ja-JP"/>
              </w:rPr>
              <w:t>ています</w:t>
            </w:r>
            <w:r>
              <w:rPr>
                <w:sz w:val="21"/>
                <w:szCs w:val="21"/>
                <w:lang w:eastAsia="ja-JP"/>
              </w:rPr>
              <w:t>”，模拟实际工作场景对话，</w:t>
            </w:r>
            <w:r>
              <w:rPr>
                <w:rFonts w:hint="eastAsia"/>
                <w:sz w:val="21"/>
                <w:szCs w:val="21"/>
                <w:lang w:eastAsia="ja-JP"/>
              </w:rPr>
              <w:t>并</w:t>
            </w:r>
            <w:r>
              <w:rPr>
                <w:sz w:val="21"/>
                <w:szCs w:val="21"/>
                <w:lang w:eastAsia="ja-JP"/>
              </w:rPr>
              <w:t>了解</w:t>
            </w:r>
            <w:r>
              <w:rPr>
                <w:rFonts w:hint="eastAsia"/>
                <w:sz w:val="21"/>
                <w:szCs w:val="21"/>
                <w:lang w:eastAsia="ja-JP"/>
              </w:rPr>
              <w:t>中日</w:t>
            </w:r>
            <w:r>
              <w:rPr>
                <w:sz w:val="21"/>
                <w:szCs w:val="21"/>
                <w:lang w:eastAsia="ja-JP"/>
              </w:rPr>
              <w:t>的工作文化和习惯</w:t>
            </w:r>
            <w:r>
              <w:rPr>
                <w:rFonts w:hint="eastAsia"/>
                <w:sz w:val="21"/>
                <w:szCs w:val="21"/>
                <w:lang w:eastAsia="ja-JP"/>
              </w:rPr>
              <w:t>。</w:t>
            </w:r>
          </w:p>
          <w:p w14:paraId="66AAA043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szCs w:val="21"/>
                <w:lang w:eastAsia="ja-JP"/>
              </w:rPr>
            </w:pPr>
          </w:p>
        </w:tc>
      </w:tr>
      <w:bookmarkEnd w:id="0"/>
      <w:bookmarkEnd w:id="1"/>
    </w:tbl>
    <w:p w14:paraId="52354DC4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6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900"/>
        <w:gridCol w:w="1580"/>
        <w:gridCol w:w="1595"/>
        <w:gridCol w:w="1740"/>
      </w:tblGrid>
      <w:tr w14:paraId="6E136B53">
        <w:trPr>
          <w:trHeight w:val="794" w:hRule="atLeast"/>
          <w:jc w:val="center"/>
        </w:trPr>
        <w:tc>
          <w:tcPr>
            <w:tcW w:w="2835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9966259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AE0367F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E85CCEC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545" w:type="dxa"/>
            <w:tcBorders>
              <w:top w:val="single" w:color="auto" w:sz="12" w:space="0"/>
            </w:tcBorders>
            <w:vAlign w:val="center"/>
          </w:tcPr>
          <w:p w14:paraId="6598841B">
            <w:pPr>
              <w:pStyle w:val="13"/>
              <w:rPr>
                <w:rFonts w:hint="eastAsia" w:eastAsia="MS Mincho"/>
                <w:szCs w:val="16"/>
                <w:lang w:eastAsia="ja-JP"/>
              </w:rPr>
            </w:pPr>
            <w:r>
              <w:rPr>
                <w:rFonts w:hint="eastAsia"/>
                <w:bCs w:val="0"/>
              </w:rPr>
              <w:t>LO21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 w14:paraId="5609833D">
            <w:pPr>
              <w:pStyle w:val="13"/>
              <w:rPr>
                <w:rFonts w:hint="eastAsia" w:eastAsia="MS Mincho"/>
                <w:szCs w:val="16"/>
                <w:lang w:eastAsia="ja-JP"/>
              </w:rPr>
            </w:pPr>
            <w:r>
              <w:rPr>
                <w:rFonts w:hint="eastAsia"/>
                <w:bCs w:val="0"/>
              </w:rPr>
              <w:t>LO311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 w14:paraId="23C6C844">
            <w:pPr>
              <w:pStyle w:val="13"/>
              <w:rPr>
                <w:rFonts w:hint="eastAsia" w:eastAsia="MS Mincho"/>
                <w:szCs w:val="16"/>
                <w:lang w:eastAsia="ja-JP"/>
              </w:rPr>
            </w:pPr>
            <w:r>
              <w:rPr>
                <w:rFonts w:hint="eastAsia"/>
                <w:bCs w:val="0"/>
              </w:rPr>
              <w:t>LO312</w:t>
            </w:r>
          </w:p>
        </w:tc>
      </w:tr>
      <w:tr w14:paraId="219BBA36">
        <w:trPr>
          <w:trHeight w:val="340" w:hRule="atLeast"/>
          <w:jc w:val="center"/>
        </w:trPr>
        <w:tc>
          <w:tcPr>
            <w:tcW w:w="2835" w:type="dxa"/>
            <w:tcBorders>
              <w:left w:val="single" w:color="auto" w:sz="12" w:space="0"/>
            </w:tcBorders>
          </w:tcPr>
          <w:p w14:paraId="2FBDDB88">
            <w:pPr>
              <w:pStyle w:val="14"/>
              <w:jc w:val="left"/>
              <w:rPr>
                <w:rFonts w:eastAsiaTheme="minorEastAsia"/>
              </w:rPr>
            </w:pPr>
            <w:r>
              <w:rPr>
                <w:rFonts w:hint="eastAsia" w:cs="仿宋"/>
              </w:rPr>
              <w:t>1、小李赴日</w:t>
            </w:r>
          </w:p>
        </w:tc>
        <w:tc>
          <w:tcPr>
            <w:tcW w:w="1545" w:type="dxa"/>
            <w:vAlign w:val="center"/>
          </w:tcPr>
          <w:p w14:paraId="786ED503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  <w:tc>
          <w:tcPr>
            <w:tcW w:w="1559" w:type="dxa"/>
            <w:vAlign w:val="center"/>
          </w:tcPr>
          <w:p w14:paraId="37943175">
            <w:pPr>
              <w:pStyle w:val="14"/>
            </w:pPr>
          </w:p>
        </w:tc>
        <w:tc>
          <w:tcPr>
            <w:tcW w:w="1701" w:type="dxa"/>
            <w:vAlign w:val="center"/>
          </w:tcPr>
          <w:p w14:paraId="68F1D2A4">
            <w:pPr>
              <w:pStyle w:val="14"/>
              <w:rPr>
                <w:rFonts w:eastAsiaTheme="minorEastAsia"/>
                <w:lang w:eastAsia="ja-JP"/>
              </w:rPr>
            </w:pPr>
          </w:p>
        </w:tc>
      </w:tr>
      <w:tr w14:paraId="2E9B56BD">
        <w:trPr>
          <w:trHeight w:val="340" w:hRule="atLeast"/>
          <w:jc w:val="center"/>
        </w:trPr>
        <w:tc>
          <w:tcPr>
            <w:tcW w:w="2835" w:type="dxa"/>
            <w:tcBorders>
              <w:left w:val="single" w:color="auto" w:sz="12" w:space="0"/>
            </w:tcBorders>
          </w:tcPr>
          <w:p w14:paraId="6E43803B">
            <w:pPr>
              <w:pStyle w:val="14"/>
              <w:jc w:val="left"/>
              <w:rPr>
                <w:rFonts w:hint="eastAsia" w:eastAsia="MS Mincho"/>
                <w:lang w:eastAsia="ja-JP"/>
              </w:rPr>
            </w:pPr>
            <w:r>
              <w:rPr>
                <w:rFonts w:hint="eastAsia" w:cs="仿宋"/>
              </w:rPr>
              <w:t>2、小李的公司生活</w:t>
            </w:r>
            <w:r>
              <w:rPr>
                <w:rFonts w:hint="eastAsia" w:ascii="MS Mincho" w:hAnsi="MS Mincho" w:eastAsia="MS Mincho" w:cs="仿宋"/>
                <w:lang w:eastAsia="ja-JP"/>
              </w:rPr>
              <w:t>―①</w:t>
            </w:r>
          </w:p>
        </w:tc>
        <w:tc>
          <w:tcPr>
            <w:tcW w:w="1545" w:type="dxa"/>
            <w:vAlign w:val="center"/>
          </w:tcPr>
          <w:p w14:paraId="3833F6F2">
            <w:pPr>
              <w:pStyle w:val="14"/>
            </w:pPr>
          </w:p>
        </w:tc>
        <w:tc>
          <w:tcPr>
            <w:tcW w:w="1559" w:type="dxa"/>
            <w:vAlign w:val="center"/>
          </w:tcPr>
          <w:p w14:paraId="0FECAF07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  <w:tc>
          <w:tcPr>
            <w:tcW w:w="1701" w:type="dxa"/>
            <w:vAlign w:val="center"/>
          </w:tcPr>
          <w:p w14:paraId="22F64818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</w:tr>
      <w:tr w14:paraId="03D29C0A">
        <w:trPr>
          <w:trHeight w:val="340" w:hRule="atLeast"/>
          <w:jc w:val="center"/>
        </w:trPr>
        <w:tc>
          <w:tcPr>
            <w:tcW w:w="2835" w:type="dxa"/>
            <w:tcBorders>
              <w:left w:val="single" w:color="auto" w:sz="12" w:space="0"/>
            </w:tcBorders>
          </w:tcPr>
          <w:p w14:paraId="185B5B84">
            <w:pPr>
              <w:pStyle w:val="14"/>
              <w:jc w:val="left"/>
              <w:rPr>
                <w:rFonts w:eastAsia="MS Mincho"/>
                <w:lang w:eastAsia="ja-JP"/>
              </w:rPr>
            </w:pPr>
            <w:r>
              <w:rPr>
                <w:rFonts w:hint="eastAsia" w:cs="仿宋"/>
              </w:rPr>
              <w:t>3、小李在箱根</w:t>
            </w:r>
          </w:p>
        </w:tc>
        <w:tc>
          <w:tcPr>
            <w:tcW w:w="1545" w:type="dxa"/>
            <w:vAlign w:val="center"/>
          </w:tcPr>
          <w:p w14:paraId="4DEA4A96">
            <w:pPr>
              <w:pStyle w:val="14"/>
            </w:pPr>
          </w:p>
        </w:tc>
        <w:tc>
          <w:tcPr>
            <w:tcW w:w="1559" w:type="dxa"/>
            <w:vAlign w:val="center"/>
          </w:tcPr>
          <w:p w14:paraId="4804FEF4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  <w:tc>
          <w:tcPr>
            <w:tcW w:w="1701" w:type="dxa"/>
            <w:vAlign w:val="center"/>
          </w:tcPr>
          <w:p w14:paraId="5E7FFDC7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</w:tr>
      <w:tr w14:paraId="6E1AC0D8">
        <w:trPr>
          <w:trHeight w:val="340" w:hRule="atLeast"/>
          <w:jc w:val="center"/>
        </w:trPr>
        <w:tc>
          <w:tcPr>
            <w:tcW w:w="2835" w:type="dxa"/>
            <w:tcBorders>
              <w:left w:val="single" w:color="auto" w:sz="12" w:space="0"/>
            </w:tcBorders>
          </w:tcPr>
          <w:p w14:paraId="74B9641D">
            <w:pPr>
              <w:pStyle w:val="14"/>
              <w:jc w:val="left"/>
              <w:rPr>
                <w:rFonts w:eastAsiaTheme="minorEastAsia"/>
              </w:rPr>
            </w:pPr>
            <w:r>
              <w:rPr>
                <w:rFonts w:hint="eastAsia" w:cs="仿宋"/>
              </w:rPr>
              <w:t>4、小李的公司生活</w:t>
            </w:r>
            <w:r>
              <w:rPr>
                <w:rFonts w:hint="eastAsia" w:ascii="MS Mincho" w:hAnsi="MS Mincho" w:eastAsia="MS Mincho" w:cs="仿宋"/>
                <w:lang w:eastAsia="ja-JP"/>
              </w:rPr>
              <w:t>―②</w:t>
            </w:r>
          </w:p>
        </w:tc>
        <w:tc>
          <w:tcPr>
            <w:tcW w:w="1545" w:type="dxa"/>
            <w:vAlign w:val="center"/>
          </w:tcPr>
          <w:p w14:paraId="07429E6E">
            <w:pPr>
              <w:pStyle w:val="14"/>
            </w:pPr>
          </w:p>
        </w:tc>
        <w:tc>
          <w:tcPr>
            <w:tcW w:w="1559" w:type="dxa"/>
            <w:vAlign w:val="center"/>
          </w:tcPr>
          <w:p w14:paraId="21C49909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  <w:tc>
          <w:tcPr>
            <w:tcW w:w="1701" w:type="dxa"/>
            <w:vAlign w:val="center"/>
          </w:tcPr>
          <w:p w14:paraId="0E2FB528">
            <w:pPr>
              <w:pStyle w:val="14"/>
            </w:pPr>
          </w:p>
        </w:tc>
      </w:tr>
    </w:tbl>
    <w:p w14:paraId="545E4431">
      <w:pPr>
        <w:pStyle w:val="17"/>
        <w:spacing w:before="326" w:beforeLines="100" w:after="163"/>
      </w:pPr>
      <w:r>
        <w:rPr>
          <w:rFonts w:hint="eastAsia"/>
        </w:rPr>
        <w:t>（三）课程教学方法概述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4C89F64">
        <w:tc>
          <w:tcPr>
            <w:tcW w:w="8296" w:type="dxa"/>
          </w:tcPr>
          <w:p w14:paraId="69C2E499">
            <w:pPr>
              <w:widowControl w:val="0"/>
              <w:adjustRightInd w:val="0"/>
              <w:snapToGrid w:val="0"/>
              <w:spacing w:line="360" w:lineRule="auto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cs="仿宋"/>
                <w:sz w:val="21"/>
                <w:szCs w:val="21"/>
              </w:rPr>
              <w:t>本课程采用多元化的教学方法，以全面提升学生的日语能力为目标。课堂教学为主轴，注重理论与实践相结合，通过系统的语音练习和语法讲解，确保学生掌握基础技能。同时，通过角色扮演和小组讨论等活动，模拟实际日常场景，帮助学生在真实情境中练习语言运用，增强他们的交际能力和应对能力。课程设计注重互动和个性化学习，鼓励学生积极参与课堂互动，分享观点和经验。教学内容涵盖了日本文化背景和社会习俗，帮助学生理解语言与文化之间的紧密联系。通过这些教学方法，学生不仅能够提高日语水平，还能够培养跨文化交流的能力，为未来的学习和职业生涯打下坚实的基础。</w:t>
            </w:r>
          </w:p>
        </w:tc>
      </w:tr>
    </w:tbl>
    <w:p w14:paraId="5ABFEF30">
      <w:pPr>
        <w:pStyle w:val="17"/>
        <w:spacing w:before="326" w:beforeLines="100" w:after="163"/>
      </w:pPr>
      <w:r>
        <w:rPr>
          <w:rFonts w:hint="eastAsia"/>
        </w:rPr>
        <w:t>（四）课程教学方法与学时分配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145"/>
        <w:gridCol w:w="4065"/>
        <w:gridCol w:w="1307"/>
        <w:gridCol w:w="573"/>
        <w:gridCol w:w="669"/>
        <w:gridCol w:w="717"/>
      </w:tblGrid>
      <w:tr w14:paraId="20D0CF15">
        <w:trPr>
          <w:trHeight w:val="340" w:hRule="atLeast"/>
          <w:jc w:val="center"/>
        </w:trPr>
        <w:tc>
          <w:tcPr>
            <w:tcW w:w="111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47EB9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3969" w:type="dxa"/>
            <w:vMerge w:val="restart"/>
            <w:tcBorders>
              <w:top w:val="single" w:color="auto" w:sz="12" w:space="0"/>
            </w:tcBorders>
            <w:vAlign w:val="center"/>
          </w:tcPr>
          <w:p w14:paraId="3226C472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276" w:type="dxa"/>
            <w:vMerge w:val="restart"/>
            <w:tcBorders>
              <w:top w:val="single" w:color="auto" w:sz="12" w:space="0"/>
            </w:tcBorders>
            <w:vAlign w:val="center"/>
          </w:tcPr>
          <w:p w14:paraId="24EA7652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1912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44B1E29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D5131F7">
        <w:trPr>
          <w:trHeight w:val="340" w:hRule="atLeast"/>
          <w:jc w:val="center"/>
        </w:trPr>
        <w:tc>
          <w:tcPr>
            <w:tcW w:w="1119" w:type="dxa"/>
            <w:vMerge w:val="continue"/>
            <w:tcBorders>
              <w:left w:val="single" w:color="auto" w:sz="12" w:space="0"/>
            </w:tcBorders>
          </w:tcPr>
          <w:p w14:paraId="05A5175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3969" w:type="dxa"/>
            <w:vMerge w:val="continue"/>
          </w:tcPr>
          <w:p w14:paraId="297D6615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</w:tcPr>
          <w:p w14:paraId="4B040DCF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559" w:type="dxa"/>
            <w:vAlign w:val="center"/>
          </w:tcPr>
          <w:p w14:paraId="4AC208A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F103F1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61309D8">
        <w:trPr>
          <w:trHeight w:val="454" w:hRule="atLeast"/>
          <w:jc w:val="center"/>
        </w:trPr>
        <w:tc>
          <w:tcPr>
            <w:tcW w:w="1119" w:type="dxa"/>
            <w:tcBorders>
              <w:left w:val="single" w:color="auto" w:sz="12" w:space="0"/>
            </w:tcBorders>
            <w:vAlign w:val="center"/>
          </w:tcPr>
          <w:p w14:paraId="3EF6BE0D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sz w:val="21"/>
                <w:szCs w:val="21"/>
              </w:rPr>
              <w:t>1、小李赴日</w:t>
            </w:r>
          </w:p>
        </w:tc>
        <w:tc>
          <w:tcPr>
            <w:tcW w:w="3969" w:type="dxa"/>
            <w:vAlign w:val="center"/>
          </w:tcPr>
          <w:p w14:paraId="686F0F04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1、提前帮助学生确认课文学习目标，要求学生按照学习目标制定学习计划</w:t>
            </w:r>
          </w:p>
          <w:p w14:paraId="07A006E4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、熟背单词和基本课文，熟读应用文，完成练习。</w:t>
            </w:r>
          </w:p>
          <w:p w14:paraId="213504AA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3、反复带领学生朗读，注意语音语调，听录音完成部分课后练习。</w:t>
            </w:r>
          </w:p>
          <w:p w14:paraId="0A00AB34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4、详细解说单词和语法，特别是单词在文章中的使用。</w:t>
            </w:r>
          </w:p>
          <w:p w14:paraId="56B49B44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5、详细解说每课出现的语法和句型，进行造句和翻译练习。</w:t>
            </w:r>
          </w:p>
          <w:p w14:paraId="69B57470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6、根据课文会话内容，模拟场景会话。</w:t>
            </w:r>
          </w:p>
          <w:p w14:paraId="1AE5D317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7、结合课文介绍日本的生活态度、习惯、文化风俗等。</w:t>
            </w:r>
          </w:p>
        </w:tc>
        <w:tc>
          <w:tcPr>
            <w:tcW w:w="1276" w:type="dxa"/>
            <w:vAlign w:val="center"/>
          </w:tcPr>
          <w:p w14:paraId="1671CBB1">
            <w:pPr>
              <w:widowControl w:val="0"/>
              <w:snapToGrid w:val="0"/>
              <w:jc w:val="left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课堂测验</w:t>
            </w:r>
          </w:p>
        </w:tc>
        <w:tc>
          <w:tcPr>
            <w:tcW w:w="559" w:type="dxa"/>
            <w:vAlign w:val="center"/>
          </w:tcPr>
          <w:p w14:paraId="7DDFCF1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  <w:tc>
          <w:tcPr>
            <w:tcW w:w="653" w:type="dxa"/>
            <w:vAlign w:val="center"/>
          </w:tcPr>
          <w:p w14:paraId="0E18152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-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CF109D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</w:tr>
      <w:tr w14:paraId="13ACC6F2">
        <w:trPr>
          <w:trHeight w:val="454" w:hRule="atLeast"/>
          <w:jc w:val="center"/>
        </w:trPr>
        <w:tc>
          <w:tcPr>
            <w:tcW w:w="1119" w:type="dxa"/>
            <w:tcBorders>
              <w:left w:val="single" w:color="auto" w:sz="12" w:space="0"/>
            </w:tcBorders>
            <w:vAlign w:val="center"/>
          </w:tcPr>
          <w:p w14:paraId="336D78AA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sz w:val="21"/>
                <w:szCs w:val="21"/>
              </w:rPr>
              <w:t>2、小李的公司生活</w:t>
            </w:r>
            <w:r>
              <w:rPr>
                <w:rFonts w:hint="eastAsia" w:ascii="MS Mincho" w:hAnsi="MS Mincho" w:eastAsia="MS Mincho" w:cs="仿宋"/>
                <w:lang w:eastAsia="ja-JP"/>
              </w:rPr>
              <w:t>―①</w:t>
            </w:r>
          </w:p>
        </w:tc>
        <w:tc>
          <w:tcPr>
            <w:tcW w:w="3969" w:type="dxa"/>
            <w:vAlign w:val="center"/>
          </w:tcPr>
          <w:p w14:paraId="4D8AC55A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1、提前帮助学生确认课文学习目标，要求学生按照学习目标制定学习计划</w:t>
            </w:r>
          </w:p>
          <w:p w14:paraId="5FC1F180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、熟背单词和基本课文，熟读应用文，完成练习。</w:t>
            </w:r>
          </w:p>
          <w:p w14:paraId="2E5A933E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3、反复带领学生朗读，注意语音语调，听录音完成部分课后练习。</w:t>
            </w:r>
          </w:p>
          <w:p w14:paraId="63CF7FE6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4、详细解说单词和语法，特别是单词在文章中的使用。</w:t>
            </w:r>
          </w:p>
          <w:p w14:paraId="2A6A743F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5、详细解说每课出现的语法和句型，进行造句和翻译练习。</w:t>
            </w:r>
          </w:p>
          <w:p w14:paraId="50FA589F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6、根据课文会话内容，模拟场景会话。</w:t>
            </w:r>
          </w:p>
          <w:p w14:paraId="09BAD965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7、结合课文介绍日本的生活态度、习惯、文化风俗等。</w:t>
            </w:r>
          </w:p>
        </w:tc>
        <w:tc>
          <w:tcPr>
            <w:tcW w:w="1276" w:type="dxa"/>
            <w:vAlign w:val="center"/>
          </w:tcPr>
          <w:p w14:paraId="6456A219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课堂测验</w:t>
            </w:r>
          </w:p>
        </w:tc>
        <w:tc>
          <w:tcPr>
            <w:tcW w:w="559" w:type="dxa"/>
            <w:vAlign w:val="center"/>
          </w:tcPr>
          <w:p w14:paraId="60329DA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  <w:tc>
          <w:tcPr>
            <w:tcW w:w="653" w:type="dxa"/>
            <w:vAlign w:val="center"/>
          </w:tcPr>
          <w:p w14:paraId="10D7F99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-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88E3C5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</w:tr>
      <w:tr w14:paraId="425114FD">
        <w:trPr>
          <w:trHeight w:val="454" w:hRule="atLeast"/>
          <w:jc w:val="center"/>
        </w:trPr>
        <w:tc>
          <w:tcPr>
            <w:tcW w:w="1119" w:type="dxa"/>
            <w:tcBorders>
              <w:left w:val="single" w:color="auto" w:sz="12" w:space="0"/>
            </w:tcBorders>
            <w:vAlign w:val="center"/>
          </w:tcPr>
          <w:p w14:paraId="6658EB62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sz w:val="21"/>
                <w:szCs w:val="21"/>
              </w:rPr>
              <w:t>3、小李在箱根</w:t>
            </w:r>
          </w:p>
        </w:tc>
        <w:tc>
          <w:tcPr>
            <w:tcW w:w="3969" w:type="dxa"/>
            <w:vAlign w:val="center"/>
          </w:tcPr>
          <w:p w14:paraId="79D6C92A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1、提前帮助学生确认课文学习目标，要求学生按照学习目标制定学习计划</w:t>
            </w:r>
          </w:p>
          <w:p w14:paraId="3FF0496B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、熟背单词和基本课文，熟读应用文，完成练习。</w:t>
            </w:r>
          </w:p>
          <w:p w14:paraId="003D5CC6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3、反复带领学生朗读，注意语音语调，听录音完成部分课后练习。</w:t>
            </w:r>
          </w:p>
          <w:p w14:paraId="4D1CD5AC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4、详细解说单词和语法，特别是单词在文章中的使用。</w:t>
            </w:r>
          </w:p>
          <w:p w14:paraId="663DF4BC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5、详细解说每课出现的语法和句型，进行造句和翻译练习。</w:t>
            </w:r>
          </w:p>
          <w:p w14:paraId="71E2C2EF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6、根据课文会话内容，模拟场景会话。</w:t>
            </w:r>
          </w:p>
          <w:p w14:paraId="7C4AF4A7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7、结合课文介绍日本的生活态度、习惯、文化风俗等。</w:t>
            </w:r>
          </w:p>
        </w:tc>
        <w:tc>
          <w:tcPr>
            <w:tcW w:w="1276" w:type="dxa"/>
            <w:vAlign w:val="center"/>
          </w:tcPr>
          <w:p w14:paraId="054C380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课堂测验</w:t>
            </w:r>
          </w:p>
        </w:tc>
        <w:tc>
          <w:tcPr>
            <w:tcW w:w="559" w:type="dxa"/>
            <w:vAlign w:val="center"/>
          </w:tcPr>
          <w:p w14:paraId="629893A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  <w:tc>
          <w:tcPr>
            <w:tcW w:w="653" w:type="dxa"/>
            <w:vAlign w:val="center"/>
          </w:tcPr>
          <w:p w14:paraId="1264E6D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-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3F8FEB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</w:tr>
      <w:tr w14:paraId="4A2675FC">
        <w:trPr>
          <w:trHeight w:val="454" w:hRule="atLeast"/>
          <w:jc w:val="center"/>
        </w:trPr>
        <w:tc>
          <w:tcPr>
            <w:tcW w:w="1119" w:type="dxa"/>
            <w:tcBorders>
              <w:left w:val="single" w:color="auto" w:sz="12" w:space="0"/>
            </w:tcBorders>
            <w:vAlign w:val="center"/>
          </w:tcPr>
          <w:p w14:paraId="3B9F0B92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4、小李的公司生活</w:t>
            </w:r>
            <w:r>
              <w:rPr>
                <w:rFonts w:hint="eastAsia" w:eastAsia="MS Mincho" w:cs="仿宋"/>
                <w:sz w:val="21"/>
                <w:szCs w:val="21"/>
              </w:rPr>
              <w:t>―②</w:t>
            </w:r>
            <w:r>
              <w:rPr>
                <w:rFonts w:hint="eastAsia" w:cs="仿宋"/>
                <w:sz w:val="21"/>
                <w:szCs w:val="21"/>
              </w:rPr>
              <w:t>、总复习</w:t>
            </w:r>
          </w:p>
        </w:tc>
        <w:tc>
          <w:tcPr>
            <w:tcW w:w="3969" w:type="dxa"/>
            <w:vAlign w:val="center"/>
          </w:tcPr>
          <w:p w14:paraId="4C8FE33D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1、提前帮助学生确认课文学习目标，要求学生按照学习目标制定学习计划</w:t>
            </w:r>
          </w:p>
          <w:p w14:paraId="470D7945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、熟背单词和基本课文，熟读应用文，完成练习。</w:t>
            </w:r>
          </w:p>
          <w:p w14:paraId="6AF22B4C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3、反复带领学生朗读，注意语音语调，听录音完成部分课后练习。</w:t>
            </w:r>
          </w:p>
          <w:p w14:paraId="6773FDA4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4、详细解说单词和语法，特别是单词在文章中的使用。</w:t>
            </w:r>
          </w:p>
          <w:p w14:paraId="67D6604E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5、详细解说每课出现的语法和句型，进行造句和翻译练习。</w:t>
            </w:r>
          </w:p>
          <w:p w14:paraId="26398779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6、根据课文会话内容，模拟场景会话。</w:t>
            </w:r>
          </w:p>
          <w:p w14:paraId="30E6ECD7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7、结合课文介绍日本的生活态度、习惯、文化风俗等。</w:t>
            </w:r>
          </w:p>
          <w:p w14:paraId="5F8BBBD3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8、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回顾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日语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关键概念和技能，强化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本学期日语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学习成果。</w:t>
            </w:r>
          </w:p>
        </w:tc>
        <w:tc>
          <w:tcPr>
            <w:tcW w:w="1276" w:type="dxa"/>
            <w:vAlign w:val="center"/>
          </w:tcPr>
          <w:p w14:paraId="484DAE86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课堂测验</w:t>
            </w:r>
          </w:p>
        </w:tc>
        <w:tc>
          <w:tcPr>
            <w:tcW w:w="559" w:type="dxa"/>
            <w:vAlign w:val="center"/>
          </w:tcPr>
          <w:p w14:paraId="0EB17B0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  <w:tc>
          <w:tcPr>
            <w:tcW w:w="653" w:type="dxa"/>
            <w:vAlign w:val="center"/>
          </w:tcPr>
          <w:p w14:paraId="49CA5CB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-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352CA4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</w:tr>
      <w:tr w14:paraId="34816BAC">
        <w:trPr>
          <w:trHeight w:val="454" w:hRule="atLeast"/>
          <w:jc w:val="center"/>
        </w:trPr>
        <w:tc>
          <w:tcPr>
            <w:tcW w:w="6364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994175A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559" w:type="dxa"/>
            <w:tcBorders>
              <w:bottom w:val="single" w:color="auto" w:sz="12" w:space="0"/>
            </w:tcBorders>
            <w:vAlign w:val="center"/>
          </w:tcPr>
          <w:p w14:paraId="1554EAD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64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75C137E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-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89986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64</w:t>
            </w:r>
          </w:p>
        </w:tc>
      </w:tr>
    </w:tbl>
    <w:p w14:paraId="7A09098F">
      <w:pPr>
        <w:pStyle w:val="17"/>
        <w:spacing w:before="326" w:beforeLines="100" w:after="163"/>
      </w:pPr>
      <w:r>
        <w:rPr>
          <w:rFonts w:hint="eastAsia"/>
        </w:rPr>
        <w:t>（五）课内实验项目与基本要求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199"/>
        <w:gridCol w:w="724"/>
        <w:gridCol w:w="950"/>
      </w:tblGrid>
      <w:tr w14:paraId="4192B08C"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1B77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860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1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2522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7D6A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5FF757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3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78BF7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44B233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1F110DB3"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BD436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8DDEE">
            <w:pPr>
              <w:pStyle w:val="14"/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3DA2">
            <w:pPr>
              <w:pStyle w:val="14"/>
              <w:jc w:val="left"/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20F38">
            <w:pPr>
              <w:pStyle w:val="14"/>
            </w:pPr>
          </w:p>
        </w:tc>
        <w:tc>
          <w:tcPr>
            <w:tcW w:w="93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98E9C5A">
            <w:pPr>
              <w:pStyle w:val="14"/>
            </w:pPr>
          </w:p>
        </w:tc>
      </w:tr>
      <w:tr w14:paraId="0BBD4F31"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7602B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15127">
            <w:pPr>
              <w:pStyle w:val="14"/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17432">
            <w:pPr>
              <w:pStyle w:val="14"/>
              <w:jc w:val="left"/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ADAE5">
            <w:pPr>
              <w:pStyle w:val="14"/>
            </w:pPr>
          </w:p>
        </w:tc>
        <w:tc>
          <w:tcPr>
            <w:tcW w:w="93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6CC6EA4">
            <w:pPr>
              <w:pStyle w:val="14"/>
            </w:pPr>
          </w:p>
        </w:tc>
      </w:tr>
      <w:tr w14:paraId="78790C76"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3B475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EEC68">
            <w:pPr>
              <w:pStyle w:val="14"/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2D7A">
            <w:pPr>
              <w:pStyle w:val="14"/>
              <w:jc w:val="left"/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96C38">
            <w:pPr>
              <w:pStyle w:val="14"/>
            </w:pPr>
          </w:p>
        </w:tc>
        <w:tc>
          <w:tcPr>
            <w:tcW w:w="93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0195FB2">
            <w:pPr>
              <w:pStyle w:val="14"/>
            </w:pPr>
          </w:p>
        </w:tc>
      </w:tr>
      <w:tr w14:paraId="11C25288"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6DFF677">
            <w:pPr>
              <w:pStyle w:val="14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8FF06C6">
            <w:pPr>
              <w:pStyle w:val="14"/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FEF90D0">
            <w:pPr>
              <w:pStyle w:val="14"/>
              <w:jc w:val="left"/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E2A3BEC">
            <w:pPr>
              <w:pStyle w:val="14"/>
            </w:pPr>
          </w:p>
        </w:tc>
        <w:tc>
          <w:tcPr>
            <w:tcW w:w="930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5498D66">
            <w:pPr>
              <w:pStyle w:val="14"/>
            </w:pPr>
          </w:p>
        </w:tc>
      </w:tr>
      <w:tr w14:paraId="1A621397">
        <w:trPr>
          <w:trHeight w:val="454" w:hRule="atLeast"/>
          <w:jc w:val="center"/>
        </w:trPr>
        <w:tc>
          <w:tcPr>
            <w:tcW w:w="829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D6B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A6079A1">
      <w:pPr>
        <w:pStyle w:val="16"/>
        <w:spacing w:before="326" w:beforeLines="100" w:line="360" w:lineRule="auto"/>
        <w:ind w:firstLine="140" w:firstLineChars="50"/>
        <w:rPr>
          <w:rFonts w:hint="eastAsia"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582"/>
        <w:gridCol w:w="6894"/>
      </w:tblGrid>
      <w:tr w14:paraId="25E923BC">
        <w:trPr>
          <w:trHeight w:val="454" w:hRule="atLeast"/>
        </w:trPr>
        <w:tc>
          <w:tcPr>
            <w:tcW w:w="1545" w:type="dxa"/>
            <w:vAlign w:val="center"/>
          </w:tcPr>
          <w:p w14:paraId="7226EB47">
            <w:pPr>
              <w:pStyle w:val="13"/>
              <w:widowControl w:val="0"/>
            </w:pPr>
            <w:r>
              <w:rPr>
                <w:rFonts w:hint="eastAsia"/>
              </w:rPr>
              <w:t>教学单元</w:t>
            </w:r>
          </w:p>
        </w:tc>
        <w:tc>
          <w:tcPr>
            <w:tcW w:w="6731" w:type="dxa"/>
            <w:vAlign w:val="center"/>
          </w:tcPr>
          <w:p w14:paraId="5A1D022B">
            <w:pPr>
              <w:pStyle w:val="13"/>
              <w:widowControl w:val="0"/>
            </w:pPr>
            <w:r>
              <w:rPr>
                <w:rFonts w:hint="eastAsia"/>
              </w:rPr>
              <w:t>课程思政教学要点</w:t>
            </w:r>
          </w:p>
        </w:tc>
      </w:tr>
      <w:tr w14:paraId="5CAF18E5">
        <w:trPr>
          <w:trHeight w:val="454" w:hRule="atLeast"/>
        </w:trPr>
        <w:tc>
          <w:tcPr>
            <w:tcW w:w="1545" w:type="dxa"/>
            <w:vAlign w:val="center"/>
          </w:tcPr>
          <w:p w14:paraId="0F31E7C5">
            <w:pPr>
              <w:pStyle w:val="14"/>
              <w:widowControl w:val="0"/>
              <w:jc w:val="left"/>
              <w:rPr>
                <w:rFonts w:cs="仿宋"/>
              </w:rPr>
            </w:pPr>
            <w:r>
              <w:rPr>
                <w:rFonts w:hint="eastAsia" w:cs="仿宋"/>
              </w:rPr>
              <w:t>1、小李赴日</w:t>
            </w:r>
          </w:p>
          <w:p w14:paraId="7C0C9D4A">
            <w:pPr>
              <w:pStyle w:val="14"/>
              <w:widowControl w:val="0"/>
              <w:jc w:val="left"/>
              <w:rPr>
                <w:rFonts w:hint="eastAsia" w:cs="仿宋"/>
              </w:rPr>
            </w:pPr>
            <w:r>
              <w:rPr>
                <w:rFonts w:hint="eastAsia" w:cs="仿宋"/>
              </w:rPr>
              <w:t>3、小李在箱根</w:t>
            </w:r>
          </w:p>
        </w:tc>
        <w:tc>
          <w:tcPr>
            <w:tcW w:w="6731" w:type="dxa"/>
            <w:vAlign w:val="center"/>
          </w:tcPr>
          <w:p w14:paraId="4D333972">
            <w:pPr>
              <w:pStyle w:val="14"/>
              <w:widowControl w:val="0"/>
              <w:spacing w:line="276" w:lineRule="auto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1、</w:t>
            </w:r>
            <w:r>
              <w:rPr>
                <w:rFonts w:ascii="宋体" w:hAnsi="宋体"/>
                <w:b/>
                <w:bCs/>
              </w:rPr>
              <w:t>中日饮食文化比较</w:t>
            </w:r>
            <w:r>
              <w:rPr>
                <w:rFonts w:ascii="宋体" w:hAnsi="宋体"/>
              </w:rPr>
              <w:t>：通过对比中日</w:t>
            </w:r>
            <w:r>
              <w:rPr>
                <w:rFonts w:hint="eastAsia" w:ascii="宋体" w:hAnsi="宋体"/>
              </w:rPr>
              <w:t>的各种</w:t>
            </w:r>
            <w:r>
              <w:rPr>
                <w:rFonts w:ascii="宋体" w:hAnsi="宋体"/>
              </w:rPr>
              <w:t>习惯，帮助学生理解和尊重不同文化的礼仪。例如，日本餐厅的用餐礼仪、餐具使用和食物搭配与中国的差异，引导学生思考文化差异带来的影响。</w:t>
            </w:r>
          </w:p>
          <w:p w14:paraId="412FAA53">
            <w:pPr>
              <w:pStyle w:val="14"/>
              <w:widowControl w:val="0"/>
              <w:spacing w:line="276" w:lineRule="auto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2、</w:t>
            </w:r>
            <w:r>
              <w:rPr>
                <w:rFonts w:ascii="宋体" w:hAnsi="宋体"/>
                <w:b/>
                <w:bCs/>
              </w:rPr>
              <w:t>礼貌与尊重</w:t>
            </w:r>
            <w:r>
              <w:rPr>
                <w:rFonts w:ascii="宋体" w:hAnsi="宋体"/>
              </w:rPr>
              <w:t>：强调在</w:t>
            </w:r>
            <w:r>
              <w:rPr>
                <w:rFonts w:hint="eastAsia" w:ascii="宋体" w:hAnsi="宋体"/>
              </w:rPr>
              <w:t>日本</w:t>
            </w:r>
            <w:r>
              <w:rPr>
                <w:rFonts w:ascii="宋体" w:hAnsi="宋体"/>
              </w:rPr>
              <w:t>场景中的礼貌用语和尊重他人的重要性。通过模拟对话和实际情境，培养学生在跨文化交流中展现礼貌和尊重的意识，增强跨文化沟通能力。</w:t>
            </w:r>
          </w:p>
          <w:p w14:paraId="5CA60446">
            <w:pPr>
              <w:pStyle w:val="14"/>
              <w:widowControl w:val="0"/>
              <w:spacing w:line="276" w:lineRule="auto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3、</w:t>
            </w:r>
            <w:r>
              <w:rPr>
                <w:rFonts w:ascii="宋体" w:hAnsi="宋体"/>
                <w:b/>
                <w:bCs/>
              </w:rPr>
              <w:t>文化适应</w:t>
            </w:r>
            <w:r>
              <w:rPr>
                <w:rFonts w:ascii="宋体" w:hAnsi="宋体"/>
              </w:rPr>
              <w:t>：鼓励学生在学习日语的同时，了解和适应日本文化，提高他们在日本或与日本人交流时的文化适应能力。这有助于培养学生的全球视野和文化包容性。</w:t>
            </w:r>
          </w:p>
          <w:p w14:paraId="0AFB105B">
            <w:pPr>
              <w:pStyle w:val="14"/>
              <w:widowControl w:val="0"/>
              <w:spacing w:line="276" w:lineRule="auto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4、</w:t>
            </w:r>
            <w:r>
              <w:rPr>
                <w:rFonts w:ascii="宋体" w:hAnsi="宋体"/>
                <w:b/>
                <w:bCs/>
              </w:rPr>
              <w:t>社会价值观</w:t>
            </w:r>
            <w:r>
              <w:rPr>
                <w:rFonts w:ascii="宋体" w:hAnsi="宋体"/>
              </w:rPr>
              <w:t>：通过讨论不同文化的习惯，促进学生对多元文化的理解和接受，培养他们的开放心态和全球公民意识。</w:t>
            </w:r>
          </w:p>
        </w:tc>
      </w:tr>
      <w:tr w14:paraId="7FE51F0B">
        <w:trPr>
          <w:trHeight w:val="454" w:hRule="atLeast"/>
        </w:trPr>
        <w:tc>
          <w:tcPr>
            <w:tcW w:w="1545" w:type="dxa"/>
            <w:vAlign w:val="center"/>
          </w:tcPr>
          <w:p w14:paraId="11306B11">
            <w:pPr>
              <w:pStyle w:val="14"/>
              <w:widowControl w:val="0"/>
              <w:rPr>
                <w:rFonts w:eastAsia="MS Mincho" w:cs="仿宋"/>
                <w:lang w:eastAsia="ja-JP"/>
              </w:rPr>
            </w:pPr>
            <w:r>
              <w:rPr>
                <w:rFonts w:hint="eastAsia" w:cs="仿宋"/>
              </w:rPr>
              <w:t>2、小李的公司生活</w:t>
            </w:r>
            <w:r>
              <w:rPr>
                <w:rFonts w:hint="eastAsia" w:eastAsia="MS Mincho" w:cs="仿宋"/>
                <w:lang w:eastAsia="ja-JP"/>
              </w:rPr>
              <w:t>－①</w:t>
            </w:r>
          </w:p>
          <w:p w14:paraId="7A1ADF1D">
            <w:pPr>
              <w:pStyle w:val="14"/>
              <w:widowControl w:val="0"/>
              <w:rPr>
                <w:rFonts w:hint="eastAsia" w:eastAsia="MS Mincho" w:cs="仿宋"/>
                <w:lang w:eastAsia="ja-JP"/>
              </w:rPr>
            </w:pPr>
            <w:r>
              <w:rPr>
                <w:rFonts w:hint="eastAsia" w:eastAsia="MS Mincho" w:cs="仿宋"/>
              </w:rPr>
              <w:t>4</w:t>
            </w:r>
            <w:r>
              <w:rPr>
                <w:rFonts w:hint="eastAsia" w:cs="仿宋"/>
              </w:rPr>
              <w:t>、小李的公司生活</w:t>
            </w:r>
            <w:r>
              <w:rPr>
                <w:rFonts w:hint="eastAsia" w:eastAsia="MS Mincho" w:cs="仿宋"/>
              </w:rPr>
              <w:t>－</w:t>
            </w:r>
            <w:r>
              <w:rPr>
                <w:rFonts w:hint="eastAsia" w:eastAsia="MS Mincho" w:cs="仿宋"/>
                <w:lang w:eastAsia="ja-JP"/>
              </w:rPr>
              <w:t>②</w:t>
            </w:r>
          </w:p>
          <w:p w14:paraId="598DADA3">
            <w:pPr>
              <w:pStyle w:val="14"/>
              <w:widowControl w:val="0"/>
              <w:rPr>
                <w:rFonts w:cs="仿宋"/>
              </w:rPr>
            </w:pPr>
            <w:r>
              <w:rPr>
                <w:rFonts w:hint="eastAsia"/>
              </w:rPr>
              <w:t>总复习</w:t>
            </w:r>
          </w:p>
        </w:tc>
        <w:tc>
          <w:tcPr>
            <w:tcW w:w="6731" w:type="dxa"/>
            <w:vAlign w:val="center"/>
          </w:tcPr>
          <w:p w14:paraId="3159DC8C">
            <w:pPr>
              <w:pStyle w:val="14"/>
              <w:widowControl w:val="0"/>
              <w:spacing w:line="276" w:lineRule="auto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1、</w:t>
            </w:r>
            <w:r>
              <w:rPr>
                <w:rFonts w:ascii="宋体" w:hAnsi="宋体"/>
                <w:b/>
                <w:bCs/>
              </w:rPr>
              <w:t>中日工作文化对比</w:t>
            </w:r>
            <w:r>
              <w:rPr>
                <w:rFonts w:ascii="宋体" w:hAnsi="宋体"/>
              </w:rPr>
              <w:t>：通过对比中国和日本的工作环境、工作时间及工作习惯，引导学生了解不同国家的工作文化。讨论日本的工作礼仪和职业道德，帮助学生理解并尊重不同的工作文化和职业价值观。</w:t>
            </w:r>
          </w:p>
          <w:p w14:paraId="5F6EB8E7">
            <w:pPr>
              <w:pStyle w:val="14"/>
              <w:widowControl w:val="0"/>
              <w:spacing w:line="276" w:lineRule="auto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2、</w:t>
            </w:r>
            <w:r>
              <w:rPr>
                <w:rFonts w:ascii="宋体" w:hAnsi="宋体"/>
                <w:b/>
                <w:bCs/>
              </w:rPr>
              <w:t>职业道德与责任</w:t>
            </w:r>
            <w:r>
              <w:rPr>
                <w:rFonts w:ascii="宋体" w:hAnsi="宋体"/>
              </w:rPr>
              <w:t>：强调在工作中应具备的职业道德，如诚信、责任感和团队合作。通过学习相关的日语表达，培养学生在未来职场中对待工作的正确态度和职业操守。</w:t>
            </w:r>
          </w:p>
          <w:p w14:paraId="35B87226">
            <w:pPr>
              <w:pStyle w:val="14"/>
              <w:widowControl w:val="0"/>
              <w:spacing w:line="276" w:lineRule="auto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3、</w:t>
            </w:r>
            <w:r>
              <w:rPr>
                <w:rFonts w:ascii="宋体" w:hAnsi="宋体"/>
                <w:b/>
                <w:bCs/>
              </w:rPr>
              <w:t>跨文化沟通能力</w:t>
            </w:r>
            <w:r>
              <w:rPr>
                <w:rFonts w:ascii="宋体" w:hAnsi="宋体"/>
              </w:rPr>
              <w:t>：通过模拟工作场景对话，提升学生的跨文化沟通能力和适应能力。鼓励学生在国际工作环境中展示尊重和理解，增强全球视野。</w:t>
            </w:r>
          </w:p>
          <w:p w14:paraId="2B4B3962">
            <w:pPr>
              <w:pStyle w:val="14"/>
              <w:widowControl w:val="0"/>
              <w:spacing w:line="276" w:lineRule="auto"/>
              <w:jc w:val="both"/>
            </w:pPr>
            <w:r>
              <w:rPr>
                <w:rFonts w:hint="eastAsia" w:ascii="宋体" w:hAnsi="宋体"/>
                <w:b/>
                <w:bCs/>
              </w:rPr>
              <w:t>4、</w:t>
            </w:r>
            <w:r>
              <w:rPr>
                <w:rFonts w:ascii="宋体" w:hAnsi="宋体"/>
                <w:b/>
                <w:bCs/>
              </w:rPr>
              <w:t>文化适应与包容</w:t>
            </w:r>
            <w:r>
              <w:rPr>
                <w:rFonts w:ascii="宋体" w:hAnsi="宋体"/>
              </w:rPr>
              <w:t>：讨论在不同文化环境下的工作挑战，帮助学生在多元文化背景中更好地适应和融入，培养其文化包容性和开放心态。</w:t>
            </w:r>
          </w:p>
        </w:tc>
      </w:tr>
    </w:tbl>
    <w:p w14:paraId="6E665435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1190"/>
        <w:gridCol w:w="1418"/>
        <w:gridCol w:w="1064"/>
        <w:gridCol w:w="706"/>
      </w:tblGrid>
      <w:tr w14:paraId="4D296EA1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307AA7A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8240BA6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DFC742A">
            <w:pPr>
              <w:pStyle w:val="16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3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4D04D34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82F720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AA26404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CEA6531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738C857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72218CF5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1190" w:type="dxa"/>
            <w:tcBorders>
              <w:left w:val="double" w:color="auto" w:sz="4" w:space="0"/>
            </w:tcBorders>
            <w:vAlign w:val="center"/>
          </w:tcPr>
          <w:p w14:paraId="5B0A7718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1-1</w:t>
            </w:r>
          </w:p>
        </w:tc>
        <w:tc>
          <w:tcPr>
            <w:tcW w:w="1418" w:type="dxa"/>
            <w:vAlign w:val="center"/>
          </w:tcPr>
          <w:p w14:paraId="3B87B02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2-1</w:t>
            </w:r>
          </w:p>
        </w:tc>
        <w:tc>
          <w:tcPr>
            <w:tcW w:w="1064" w:type="dxa"/>
            <w:vAlign w:val="center"/>
          </w:tcPr>
          <w:p w14:paraId="186A8CA5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2-2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62E91C4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</w:tr>
      <w:tr w14:paraId="3EFB04E4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98606A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5BA31A6">
            <w:pPr>
              <w:pStyle w:val="14"/>
              <w:widowControl w:val="0"/>
              <w:rPr>
                <w:rFonts w:eastAsiaTheme="minorEastAsia"/>
              </w:rPr>
            </w:pPr>
            <w:r>
              <w:rPr>
                <w:rFonts w:hint="eastAsia" w:eastAsia="MS Mincho"/>
                <w:lang w:eastAsia="ja-JP"/>
              </w:rPr>
              <w:t>60</w:t>
            </w:r>
            <w:r>
              <w:rPr>
                <w:rFonts w:hint="eastAsia" w:eastAsiaTheme="minor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02F7EF4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/>
              </w:rPr>
              <w:t>期终闭卷考试</w:t>
            </w:r>
          </w:p>
        </w:tc>
        <w:tc>
          <w:tcPr>
            <w:tcW w:w="1190" w:type="dxa"/>
            <w:tcBorders>
              <w:left w:val="double" w:color="auto" w:sz="4" w:space="0"/>
            </w:tcBorders>
            <w:vAlign w:val="center"/>
          </w:tcPr>
          <w:p w14:paraId="24F71567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418" w:type="dxa"/>
            <w:vAlign w:val="center"/>
          </w:tcPr>
          <w:p w14:paraId="4EBA91CC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64" w:type="dxa"/>
            <w:vAlign w:val="center"/>
          </w:tcPr>
          <w:p w14:paraId="561A033C">
            <w:pPr>
              <w:pStyle w:val="14"/>
              <w:widowControl w:val="0"/>
            </w:pPr>
            <w:r>
              <w:rPr>
                <w:rFonts w:hint="eastAsia"/>
              </w:rPr>
              <w:t>35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6D4C299">
            <w:pPr>
              <w:pStyle w:val="14"/>
              <w:widowControl w:val="0"/>
            </w:pPr>
            <w:r>
              <w:rPr>
                <w:rFonts w:hint="eastAsia"/>
              </w:rPr>
              <w:t>100</w:t>
            </w:r>
          </w:p>
        </w:tc>
      </w:tr>
      <w:tr w14:paraId="5DFAB409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EF76E7A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5561B62">
            <w:pPr>
              <w:pStyle w:val="14"/>
              <w:widowControl w:val="0"/>
              <w:rPr>
                <w:rFonts w:eastAsiaTheme="minorEastAsia"/>
              </w:rPr>
            </w:pPr>
            <w:r>
              <w:rPr>
                <w:rFonts w:hint="eastAsia" w:eastAsia="MS Mincho"/>
                <w:lang w:eastAsia="ja-JP"/>
              </w:rPr>
              <w:t>15</w:t>
            </w:r>
            <w:r>
              <w:rPr>
                <w:rFonts w:hint="eastAsia" w:eastAsiaTheme="minor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6A92CAE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过程性测试</w:t>
            </w:r>
          </w:p>
        </w:tc>
        <w:tc>
          <w:tcPr>
            <w:tcW w:w="1190" w:type="dxa"/>
            <w:tcBorders>
              <w:left w:val="double" w:color="auto" w:sz="4" w:space="0"/>
            </w:tcBorders>
            <w:vAlign w:val="center"/>
          </w:tcPr>
          <w:p w14:paraId="3E63E94F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418" w:type="dxa"/>
            <w:vAlign w:val="center"/>
          </w:tcPr>
          <w:p w14:paraId="2833F605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1064" w:type="dxa"/>
            <w:vAlign w:val="center"/>
          </w:tcPr>
          <w:p w14:paraId="07583520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6510DDF">
            <w:pPr>
              <w:pStyle w:val="14"/>
              <w:widowControl w:val="0"/>
            </w:pPr>
            <w:r>
              <w:rPr>
                <w:rFonts w:hint="eastAsia"/>
              </w:rPr>
              <w:t>100</w:t>
            </w:r>
          </w:p>
        </w:tc>
      </w:tr>
      <w:tr w14:paraId="32DA11EB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5D9ABF0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3AA5FAE4">
            <w:pPr>
              <w:pStyle w:val="14"/>
              <w:widowControl w:val="0"/>
              <w:rPr>
                <w:rFonts w:eastAsiaTheme="minorEastAsia"/>
              </w:rPr>
            </w:pPr>
            <w:r>
              <w:rPr>
                <w:rFonts w:hint="eastAsia" w:eastAsia="MS Mincho"/>
                <w:lang w:eastAsia="ja-JP"/>
              </w:rPr>
              <w:t>10</w:t>
            </w:r>
            <w:r>
              <w:rPr>
                <w:rFonts w:hint="eastAsia" w:eastAsiaTheme="minor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0E4A998">
            <w:pPr>
              <w:pStyle w:val="14"/>
              <w:widowControl w:val="0"/>
            </w:pP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过程性测试</w:t>
            </w:r>
          </w:p>
        </w:tc>
        <w:tc>
          <w:tcPr>
            <w:tcW w:w="1190" w:type="dxa"/>
            <w:tcBorders>
              <w:left w:val="double" w:color="auto" w:sz="4" w:space="0"/>
            </w:tcBorders>
            <w:vAlign w:val="center"/>
          </w:tcPr>
          <w:p w14:paraId="350F1107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418" w:type="dxa"/>
            <w:vAlign w:val="center"/>
          </w:tcPr>
          <w:p w14:paraId="69878D1A">
            <w:pPr>
              <w:pStyle w:val="14"/>
              <w:widowControl w:val="0"/>
            </w:pPr>
            <w:r>
              <w:rPr>
                <w:rFonts w:hint="eastAsia"/>
              </w:rPr>
              <w:t>35</w:t>
            </w:r>
          </w:p>
        </w:tc>
        <w:tc>
          <w:tcPr>
            <w:tcW w:w="1064" w:type="dxa"/>
            <w:vAlign w:val="center"/>
          </w:tcPr>
          <w:p w14:paraId="26EED124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667BBD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</w:tr>
      <w:tr w14:paraId="393C0FC5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C537B03">
            <w:pPr>
              <w:widowControl w:val="0"/>
              <w:snapToGrid w:val="0"/>
              <w:jc w:val="center"/>
              <w:rPr>
                <w:rFonts w:hint="eastAsia" w:ascii="黑体" w:hAnsi="黑体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MS Mincho"/>
                <w:bCs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39A3042C">
            <w:pPr>
              <w:pStyle w:val="14"/>
              <w:widowControl w:val="0"/>
              <w:rPr>
                <w:rFonts w:eastAsiaTheme="minorEastAsia"/>
              </w:rPr>
            </w:pPr>
            <w:r>
              <w:rPr>
                <w:rFonts w:hint="eastAsia" w:eastAsia="MS Mincho"/>
                <w:lang w:eastAsia="ja-JP"/>
              </w:rPr>
              <w:t>15</w:t>
            </w:r>
            <w:r>
              <w:rPr>
                <w:rFonts w:hint="eastAsia" w:eastAsiaTheme="minorEastAsia"/>
              </w:rPr>
              <w:t>%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1A0E1C9F">
            <w:pPr>
              <w:pStyle w:val="14"/>
              <w:widowControl w:val="0"/>
            </w:pP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过程性测试</w:t>
            </w:r>
          </w:p>
        </w:tc>
        <w:tc>
          <w:tcPr>
            <w:tcW w:w="1190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3DE3DCE8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 w14:paraId="699E90B6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64" w:type="dxa"/>
            <w:tcBorders>
              <w:bottom w:val="single" w:color="auto" w:sz="12" w:space="0"/>
            </w:tcBorders>
            <w:vAlign w:val="center"/>
          </w:tcPr>
          <w:p w14:paraId="26FFAA7C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22448BA">
            <w:pPr>
              <w:pStyle w:val="14"/>
              <w:widowControl w:val="0"/>
            </w:pPr>
            <w:r>
              <w:rPr>
                <w:rFonts w:hint="eastAsia"/>
              </w:rPr>
              <w:t>100</w:t>
            </w:r>
          </w:p>
        </w:tc>
      </w:tr>
    </w:tbl>
    <w:p w14:paraId="769AF158">
      <w:pPr>
        <w:pStyle w:val="16"/>
        <w:rPr>
          <w:rFonts w:hint="eastAsia" w:ascii="黑体" w:hAnsi="宋体"/>
        </w:rPr>
      </w:pPr>
    </w:p>
    <w:p w14:paraId="661917BA">
      <w:pPr>
        <w:rPr>
          <w:rFonts w:hint="eastAsia"/>
        </w:rPr>
      </w:pPr>
    </w:p>
    <w:p w14:paraId="61A09D0D">
      <w:pPr>
        <w:tabs>
          <w:tab w:val="left" w:pos="7010"/>
        </w:tabs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ab/>
      </w:r>
    </w:p>
    <w:p w14:paraId="00C03C20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PMincho">
    <w:altName w:val="Hiragino Sans"/>
    <w:panose1 w:val="02020600040205080304"/>
    <w:charset w:val="80"/>
    <w:family w:val="roman"/>
    <w:pitch w:val="default"/>
    <w:sig w:usb0="00000000" w:usb1="00000000" w:usb2="08000012" w:usb3="00000000" w:csb0="000200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SJQU-QR-JW-033（A1）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+4ZKZ1AAAAAkBAAAPAAAAAAAAAAEAIAAAADgAAABkcnMvZG93bnJl&#10;di54bWxQSwECFAAUAAAACACHTuJAE483810CAAClBAAADgAAAAAAAAABACAAAAA5AQAAZHJzL2Uy&#10;b0RvYy54bWxQSwUGAAAAAAYABgBZAQAACA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SJQU-QR-JW-033（A1）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203E0"/>
    <w:rsid w:val="000210E0"/>
    <w:rsid w:val="00033082"/>
    <w:rsid w:val="0006001D"/>
    <w:rsid w:val="00066041"/>
    <w:rsid w:val="00076794"/>
    <w:rsid w:val="0008122A"/>
    <w:rsid w:val="00084FB9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3F08"/>
    <w:rsid w:val="00130F6D"/>
    <w:rsid w:val="00142EC3"/>
    <w:rsid w:val="00144082"/>
    <w:rsid w:val="00163A48"/>
    <w:rsid w:val="00164E36"/>
    <w:rsid w:val="00183AA1"/>
    <w:rsid w:val="0018767C"/>
    <w:rsid w:val="00194E8B"/>
    <w:rsid w:val="001A135C"/>
    <w:rsid w:val="001A5760"/>
    <w:rsid w:val="001B0D49"/>
    <w:rsid w:val="001B546F"/>
    <w:rsid w:val="001C16FC"/>
    <w:rsid w:val="001C2E3E"/>
    <w:rsid w:val="001C388D"/>
    <w:rsid w:val="001E1D2D"/>
    <w:rsid w:val="001E5A17"/>
    <w:rsid w:val="001F332E"/>
    <w:rsid w:val="00200C59"/>
    <w:rsid w:val="002077C2"/>
    <w:rsid w:val="00217861"/>
    <w:rsid w:val="002204E4"/>
    <w:rsid w:val="002211BF"/>
    <w:rsid w:val="002218DE"/>
    <w:rsid w:val="00233F15"/>
    <w:rsid w:val="002420F1"/>
    <w:rsid w:val="00243AE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612"/>
    <w:rsid w:val="002B0773"/>
    <w:rsid w:val="002B0C48"/>
    <w:rsid w:val="002B13CA"/>
    <w:rsid w:val="002B3650"/>
    <w:rsid w:val="002B7322"/>
    <w:rsid w:val="002C25A4"/>
    <w:rsid w:val="002C58B6"/>
    <w:rsid w:val="002D0E86"/>
    <w:rsid w:val="002D7C47"/>
    <w:rsid w:val="002E33CE"/>
    <w:rsid w:val="002E3721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D7003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5DB"/>
    <w:rsid w:val="00471668"/>
    <w:rsid w:val="00481F98"/>
    <w:rsid w:val="004852BF"/>
    <w:rsid w:val="004861BA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4F78FD"/>
    <w:rsid w:val="005074E1"/>
    <w:rsid w:val="005126F1"/>
    <w:rsid w:val="00513F2F"/>
    <w:rsid w:val="0051612A"/>
    <w:rsid w:val="00517176"/>
    <w:rsid w:val="00521636"/>
    <w:rsid w:val="0052192E"/>
    <w:rsid w:val="00524300"/>
    <w:rsid w:val="00524B99"/>
    <w:rsid w:val="00533891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9045B"/>
    <w:rsid w:val="005A13AB"/>
    <w:rsid w:val="005B1150"/>
    <w:rsid w:val="005B1FFC"/>
    <w:rsid w:val="005B2B6D"/>
    <w:rsid w:val="005B4B4E"/>
    <w:rsid w:val="005C3A76"/>
    <w:rsid w:val="005D5B6F"/>
    <w:rsid w:val="005D723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52F8F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C4635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36545"/>
    <w:rsid w:val="00742E7A"/>
    <w:rsid w:val="0074424F"/>
    <w:rsid w:val="007712B1"/>
    <w:rsid w:val="00774C1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306E"/>
    <w:rsid w:val="007E372C"/>
    <w:rsid w:val="007E620F"/>
    <w:rsid w:val="007E663C"/>
    <w:rsid w:val="007E7795"/>
    <w:rsid w:val="0080066B"/>
    <w:rsid w:val="00803578"/>
    <w:rsid w:val="00815B8E"/>
    <w:rsid w:val="00816168"/>
    <w:rsid w:val="00816D99"/>
    <w:rsid w:val="0082324C"/>
    <w:rsid w:val="00823D71"/>
    <w:rsid w:val="008245AF"/>
    <w:rsid w:val="008256B9"/>
    <w:rsid w:val="00834BAE"/>
    <w:rsid w:val="00836676"/>
    <w:rsid w:val="0083705D"/>
    <w:rsid w:val="0084242F"/>
    <w:rsid w:val="00847437"/>
    <w:rsid w:val="0087341E"/>
    <w:rsid w:val="00882E15"/>
    <w:rsid w:val="008901A2"/>
    <w:rsid w:val="008A08B0"/>
    <w:rsid w:val="008A330E"/>
    <w:rsid w:val="008B0385"/>
    <w:rsid w:val="008B188E"/>
    <w:rsid w:val="008B397C"/>
    <w:rsid w:val="008B47F4"/>
    <w:rsid w:val="008B7131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E2566"/>
    <w:rsid w:val="008F253F"/>
    <w:rsid w:val="008F7F31"/>
    <w:rsid w:val="00900019"/>
    <w:rsid w:val="00901720"/>
    <w:rsid w:val="009023B1"/>
    <w:rsid w:val="0090243C"/>
    <w:rsid w:val="009147D6"/>
    <w:rsid w:val="00916346"/>
    <w:rsid w:val="00925F8C"/>
    <w:rsid w:val="00927324"/>
    <w:rsid w:val="00932ED7"/>
    <w:rsid w:val="00941B89"/>
    <w:rsid w:val="00941DEA"/>
    <w:rsid w:val="009656CC"/>
    <w:rsid w:val="009704F2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1A57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31BBE"/>
    <w:rsid w:val="00A31D34"/>
    <w:rsid w:val="00A333EF"/>
    <w:rsid w:val="00A5769E"/>
    <w:rsid w:val="00A769B1"/>
    <w:rsid w:val="00A775FB"/>
    <w:rsid w:val="00A77DA3"/>
    <w:rsid w:val="00A837D5"/>
    <w:rsid w:val="00A83C6C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E5753"/>
    <w:rsid w:val="00AF289F"/>
    <w:rsid w:val="00AF30B9"/>
    <w:rsid w:val="00AF43DF"/>
    <w:rsid w:val="00AF67A4"/>
    <w:rsid w:val="00AF7510"/>
    <w:rsid w:val="00B05A8D"/>
    <w:rsid w:val="00B12D31"/>
    <w:rsid w:val="00B15F6E"/>
    <w:rsid w:val="00B21BEE"/>
    <w:rsid w:val="00B23284"/>
    <w:rsid w:val="00B23A05"/>
    <w:rsid w:val="00B37D43"/>
    <w:rsid w:val="00B46F21"/>
    <w:rsid w:val="00B511A5"/>
    <w:rsid w:val="00B51CDE"/>
    <w:rsid w:val="00B56541"/>
    <w:rsid w:val="00B605ED"/>
    <w:rsid w:val="00B666B0"/>
    <w:rsid w:val="00B71F97"/>
    <w:rsid w:val="00B72538"/>
    <w:rsid w:val="00B736A7"/>
    <w:rsid w:val="00B7651F"/>
    <w:rsid w:val="00B8046C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13A4"/>
    <w:rsid w:val="00D026DC"/>
    <w:rsid w:val="00D05412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9500E"/>
    <w:rsid w:val="00DA693F"/>
    <w:rsid w:val="00DB2BE6"/>
    <w:rsid w:val="00DB76B3"/>
    <w:rsid w:val="00DD1052"/>
    <w:rsid w:val="00DD3C7B"/>
    <w:rsid w:val="00DE2B21"/>
    <w:rsid w:val="00DE48DE"/>
    <w:rsid w:val="00DF25F2"/>
    <w:rsid w:val="00DF4166"/>
    <w:rsid w:val="00DF713F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5840"/>
    <w:rsid w:val="00F16421"/>
    <w:rsid w:val="00F201EE"/>
    <w:rsid w:val="00F35AA0"/>
    <w:rsid w:val="00F42F5F"/>
    <w:rsid w:val="00F43C49"/>
    <w:rsid w:val="00F45817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5C5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DEE304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uiPriority w:val="0"/>
  </w:style>
  <w:style w:type="character" w:styleId="22">
    <w:name w:val="Placeholder Text"/>
    <w:basedOn w:val="9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568</Words>
  <Characters>3239</Characters>
  <Lines>26</Lines>
  <Paragraphs>7</Paragraphs>
  <TotalTime>0</TotalTime>
  <ScaleCrop>false</ScaleCrop>
  <LinksUpToDate>false</LinksUpToDate>
  <CharactersWithSpaces>3800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2024-08-30T16:56:00Z</dcterms:created>
  <dc:creator>juvg</dc:creator>
  <cp:lastModifiedBy>假字稻遮劳</cp:lastModifiedBy>
  <cp:lastPrinted>2023-10-23T12:11:00Z</cp:lastPrinted>
  <dcterms:modified xsi:type="dcterms:W3CDTF">2024-09-25T22:15:07Z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A79465D2FC40BBF4EB1AF466C5525BFA_42</vt:lpwstr>
  </property>
</Properties>
</file>