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2020034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高级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刘雪飞、陈列玮</w:t>
            </w:r>
          </w:p>
          <w:p>
            <w:pPr>
              <w:tabs>
                <w:tab w:val="left" w:pos="532"/>
              </w:tabs>
              <w:spacing w:line="340" w:lineRule="exact"/>
              <w:ind w:firstLine="420" w:firstLineChars="2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潘小宁、刘莹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lielie5015@aliyun.com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18本日1-4班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  <w:tab w:val="left" w:pos="259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《日语综合教程》第七册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《高级日语》赵文华、张秀华编；南开大学出版社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70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1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</w:t>
            </w:r>
            <w:r>
              <w:rPr>
                <w:rFonts w:hint="eastAsia" w:eastAsia="MS Mincho"/>
                <w:bCs/>
                <w:sz w:val="21"/>
                <w:szCs w:val="21"/>
                <w:lang w:eastAsia="ja-JP"/>
              </w:rPr>
              <w:t>二つの川のほとりで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单词、语法及课文内容讲解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1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</w:t>
            </w:r>
            <w:r>
              <w:rPr>
                <w:rFonts w:hint="eastAsia" w:eastAsia="MS Mincho"/>
                <w:bCs/>
                <w:sz w:val="21"/>
                <w:szCs w:val="21"/>
                <w:lang w:eastAsia="ja-JP"/>
              </w:rPr>
              <w:t>二つの川のほとりで</w:t>
            </w:r>
          </w:p>
          <w:p>
            <w:pPr>
              <w:widowControl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辛夷の花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ja-JP"/>
              </w:rPr>
              <w:t>单词、语法及课文内容讲解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2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辛夷の花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课文内容讲解、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（过程性1测验）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ja-JP"/>
              </w:rPr>
              <w:t>单词、语法讲解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课文内容讲解、课后习题讲解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第５課　みやこ人と都会人</w:t>
            </w:r>
          </w:p>
          <w:p>
            <w:pPr>
              <w:widowControl/>
              <w:rPr>
                <w:rFonts w:hint="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单词、语法讲解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（过程性2测验）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第５課　みやこ人と都会人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第５課　みやこ人と都会人</w:t>
            </w:r>
          </w:p>
          <w:p>
            <w:pPr>
              <w:widowControl/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学生完成练习题，教师讲解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复习本学期内容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过程性1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线上测验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过程性2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线上测验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线上考试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</w:tbl>
    <w:p/>
    <w:p>
      <w:pPr>
        <w:keepNext w:val="0"/>
        <w:keepLines w:val="0"/>
        <w:pageBreakBefore w:val="0"/>
        <w:widowControl w:val="0"/>
        <w:tabs>
          <w:tab w:val="left" w:pos="321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position w:val="-2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position w:val="-20"/>
          <w:sz w:val="24"/>
          <w:szCs w:val="24"/>
        </w:rPr>
        <w:t>任课教师：陈列玮、刘雪飞、潘小宁、刘莹</w:t>
      </w:r>
      <w:r>
        <w:rPr>
          <w:rFonts w:hint="eastAsia" w:ascii="宋体" w:hAnsi="宋体" w:eastAsia="宋体" w:cs="宋体"/>
          <w:color w:val="000000"/>
          <w:position w:val="-20"/>
          <w:sz w:val="24"/>
          <w:szCs w:val="24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532"/>
        </w:tabs>
        <w:spacing w:line="340" w:lineRule="exact"/>
        <w:rPr>
          <w:rFonts w:ascii="宋体" w:hAnsi="宋体" w:eastAsia="宋体"/>
          <w:sz w:val="21"/>
          <w:szCs w:val="21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195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349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60C"/>
    <w:rsid w:val="003958D4"/>
    <w:rsid w:val="003A11F8"/>
    <w:rsid w:val="003A440D"/>
    <w:rsid w:val="003A779B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4913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3DB"/>
    <w:rsid w:val="005F2CBF"/>
    <w:rsid w:val="006044A3"/>
    <w:rsid w:val="006123C8"/>
    <w:rsid w:val="006146E0"/>
    <w:rsid w:val="00615CFF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2C7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1171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DF9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90B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4FE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C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3CCB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AA91AB3"/>
    <w:rsid w:val="2E59298A"/>
    <w:rsid w:val="37E50B00"/>
    <w:rsid w:val="440C5FFA"/>
    <w:rsid w:val="49DF08B3"/>
    <w:rsid w:val="59F87E9D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6054C-F2D4-4D17-94D6-B61EE9139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2019-09-09T13:40:00Z</dcterms:created>
  <dc:creator>*****</dc:creator>
  <cp:lastModifiedBy>刘尔瑟</cp:lastModifiedBy>
  <cp:lastPrinted>2015-03-18T03:45:00Z</cp:lastPrinted>
  <dcterms:modified xsi:type="dcterms:W3CDTF">2021-10-11T09:43:22Z</dcterms:modified>
  <dc:title>上海建桥学院教学进度计划表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