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MS Mincho"/>
                <w:sz w:val="21"/>
                <w:szCs w:val="21"/>
                <w:lang w:eastAsia="ja-JP"/>
              </w:rPr>
              <w:t>2020209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刘尔瑟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duanmubu1988@yahoo.co.jp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日语B17-1、2、3、4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5-7节课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《晨钟暮鼓——日语短篇诵读精粹》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MS Mincho" w:hAnsi="MS Mincho" w:eastAsia="MS Mincho"/>
                <w:color w:val="000000"/>
                <w:sz w:val="20"/>
                <w:szCs w:val="20"/>
                <w:lang w:eastAsia="ja-JP"/>
              </w:rPr>
              <w:t>『現代用語の基礎知識２０１８』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72"/>
        <w:gridCol w:w="1081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寓言童话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寓言童话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寓言童话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第一章 寓言童话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第二章 文化传统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第二章 文化传统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第二章 文化传统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第二章 文化传统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MS Mincho" w:hAnsi="MS Mincho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>第三章 世间百态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>第三章 世间百态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>第三章 世间百态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>第三章 世间百态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黑体" w:hAnsi="黑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>第四章 推特文学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>第四章 推特文学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>第四章 推特文学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>第四章 推特文学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文章朗読</w:t>
            </w:r>
          </w:p>
          <w:p>
            <w:pPr>
              <w:widowControl/>
              <w:jc w:val="center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日中翻訳練習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任课教师：刘尔瑟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4135F86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2019-08-30T16:23:17Z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