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78" w:rsidRDefault="00A96F78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8240;mso-position-horizontal-relative:page;mso-position-vertical-relative:page" stroked="f" strokeweight=".5pt">
            <v:textbox>
              <w:txbxContent>
                <w:p w:rsidR="00A96F78" w:rsidRDefault="00A96F78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96F78" w:rsidRDefault="00A96F78" w:rsidP="00E113E8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陈叶斐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4"/>
        <w:gridCol w:w="4952"/>
        <w:gridCol w:w="2564"/>
      </w:tblGrid>
      <w:tr w:rsidR="00A96F78" w:rsidRPr="005A35A2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96F78" w:rsidRPr="005A35A2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E60707" w:rsidRDefault="00A96F78">
            <w:pPr>
              <w:ind w:left="-50" w:right="-50"/>
              <w:rPr>
                <w:rFonts w:ascii="宋体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绪论</w:t>
            </w:r>
            <w:r w:rsidRPr="00E60707">
              <w:rPr>
                <w:rFonts w:ascii="宋体" w:hAnsi="宋体"/>
                <w:bCs/>
                <w:szCs w:val="21"/>
              </w:rPr>
              <w:t xml:space="preserve"> </w:t>
            </w:r>
            <w:r w:rsidRPr="00E60707">
              <w:rPr>
                <w:rFonts w:ascii="宋体" w:hAnsi="宋体" w:hint="eastAsia"/>
                <w:bCs/>
                <w:szCs w:val="21"/>
              </w:rPr>
              <w:t>整装待发</w:t>
            </w:r>
          </w:p>
        </w:tc>
      </w:tr>
      <w:tr w:rsidR="00A96F78" w:rsidRPr="005A35A2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96F78" w:rsidRPr="005A35A2" w:rsidRDefault="00A96F78" w:rsidP="00E607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</w:p>
        </w:tc>
      </w:tr>
      <w:tr w:rsidR="00A96F78" w:rsidRPr="005A35A2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96F78" w:rsidRPr="005A35A2" w:rsidRDefault="00A96F78" w:rsidP="00E607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讲解译者的语法水平对翻译的影响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讲解汉语表达的误区</w:t>
            </w:r>
          </w:p>
        </w:tc>
      </w:tr>
      <w:tr w:rsidR="00A96F78" w:rsidRPr="005A35A2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96F78" w:rsidRDefault="00A96F78" w:rsidP="00050C7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96F78" w:rsidRPr="00050C78" w:rsidRDefault="00A96F78" w:rsidP="00E6070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树立起初步的语境意识，理解语境对于翻译的决定性意义。</w:t>
            </w:r>
          </w:p>
        </w:tc>
      </w:tr>
      <w:tr w:rsidR="00A96F78" w:rsidRPr="005A35A2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96F78" w:rsidRPr="005A35A2" w:rsidRDefault="00A96F7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96F78" w:rsidRPr="005A35A2" w:rsidRDefault="00A96F7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:rsidTr="004767D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96F78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96F78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译者的语法水平对译文的影响</w:t>
            </w:r>
          </w:p>
          <w:p w:rsidR="00A96F78" w:rsidRPr="00E14C1C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汉语表达的误区</w:t>
            </w:r>
          </w:p>
        </w:tc>
        <w:tc>
          <w:tcPr>
            <w:tcW w:w="2564" w:type="dxa"/>
            <w:vAlign w:val="center"/>
          </w:tcPr>
          <w:p w:rsidR="00A96F78" w:rsidRPr="004767DB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:rsidR="00A96F78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:rsidR="00A96F78" w:rsidRDefault="00A96F78" w:rsidP="00E113E8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）线上实时沟通发现学生问题。</w:t>
            </w:r>
          </w:p>
          <w:p w:rsidR="00A96F78" w:rsidRPr="00E113E8" w:rsidRDefault="00A96F78" w:rsidP="00E113E8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）上课内容可以下载保存，自主学习，提高学习效率。</w:t>
            </w:r>
          </w:p>
        </w:tc>
      </w:tr>
      <w:tr w:rsidR="00A96F78" w:rsidRPr="005A35A2" w:rsidTr="004767DB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96F78" w:rsidRDefault="00A96F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96F78" w:rsidRPr="005A35A2" w:rsidRDefault="00A96F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96F78" w:rsidRPr="004767DB" w:rsidRDefault="00A96F78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96F78" w:rsidRPr="004767DB" w:rsidRDefault="00A96F78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96F78" w:rsidRPr="005A35A2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A35A2" w:rsidRDefault="00A96F7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96F78" w:rsidRDefault="00A96F78"/>
    <w:p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96F78" w:rsidRDefault="00A96F78" w:rsidP="00E113E8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2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陈叶斐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4"/>
        <w:gridCol w:w="4952"/>
        <w:gridCol w:w="2564"/>
      </w:tblGrid>
      <w:tr w:rsidR="00A96F78" w:rsidRPr="005A35A2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E60707" w:rsidRDefault="00A96F78" w:rsidP="00F25040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选词与选义（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96F78" w:rsidRPr="005A35A2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>
              <w:rPr>
                <w:rFonts w:ascii="宋体" w:hAnsi="宋体" w:hint="eastAsia"/>
                <w:bCs/>
                <w:szCs w:val="21"/>
              </w:rPr>
              <w:t>翻译与选词选义之间的关系</w:t>
            </w:r>
          </w:p>
        </w:tc>
      </w:tr>
      <w:tr w:rsidR="00A96F78" w:rsidRPr="005A35A2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</w:t>
            </w:r>
            <w:r>
              <w:rPr>
                <w:rFonts w:ascii="宋体" w:hAnsi="宋体" w:hint="eastAsia"/>
                <w:bCs/>
                <w:szCs w:val="21"/>
              </w:rPr>
              <w:t>何为日语选义，汉语选词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A96F78" w:rsidRPr="005A35A2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96F78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96F78" w:rsidRPr="00050C78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，并初步运用到翻译实践中去。</w:t>
            </w:r>
          </w:p>
        </w:tc>
      </w:tr>
      <w:tr w:rsidR="00A96F78" w:rsidRPr="005A35A2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96F78" w:rsidRPr="005A35A2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96F78" w:rsidRPr="005A35A2" w:rsidRDefault="00A96F78" w:rsidP="00F250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96F78" w:rsidRDefault="00A96F78" w:rsidP="00C7171D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96F78" w:rsidRDefault="00A96F78" w:rsidP="00F2504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日语选义，汉语选词</w:t>
            </w:r>
          </w:p>
          <w:p w:rsidR="00A96F78" w:rsidRPr="00E14C1C" w:rsidRDefault="00A96F78" w:rsidP="00F2504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:rsidR="00A96F78" w:rsidRPr="004767DB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:rsidR="00A96F78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:rsidR="00A96F78" w:rsidRDefault="00A96F78" w:rsidP="00E113E8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）线上实时沟通发现学生问题。</w:t>
            </w:r>
          </w:p>
          <w:p w:rsidR="00A96F78" w:rsidRPr="004767DB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）上课内容可以下载保存，自主学习，提高学习效率。</w:t>
            </w:r>
          </w:p>
        </w:tc>
      </w:tr>
      <w:tr w:rsidR="00A96F78" w:rsidRPr="005A35A2" w:rsidTr="00F25040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96F78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:rsidTr="00F25040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96F78" w:rsidRDefault="00A96F78">
      <w:pPr>
        <w:widowControl/>
        <w:jc w:val="left"/>
      </w:pPr>
      <w:r>
        <w:br w:type="page"/>
      </w:r>
    </w:p>
    <w:p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96F78" w:rsidRDefault="00A96F78" w:rsidP="00E113E8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3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陈叶斐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4"/>
        <w:gridCol w:w="4952"/>
        <w:gridCol w:w="2564"/>
      </w:tblGrid>
      <w:tr w:rsidR="00A96F78" w:rsidRPr="005A35A2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E60707" w:rsidRDefault="00A96F78" w:rsidP="00F25040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选词与选义（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96F78" w:rsidRPr="005A35A2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>
              <w:rPr>
                <w:rFonts w:ascii="宋体" w:hAnsi="宋体" w:hint="eastAsia"/>
                <w:bCs/>
                <w:szCs w:val="21"/>
              </w:rPr>
              <w:t>翻译与选词选义之间的关系</w:t>
            </w:r>
          </w:p>
        </w:tc>
      </w:tr>
      <w:tr w:rsidR="00A96F78" w:rsidRPr="005A35A2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</w:t>
            </w:r>
            <w:r>
              <w:rPr>
                <w:rFonts w:ascii="宋体" w:hAnsi="宋体" w:hint="eastAsia"/>
                <w:bCs/>
                <w:szCs w:val="21"/>
              </w:rPr>
              <w:t>何为词典释义是基础，词典的最终决定权在语境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A96F78" w:rsidRPr="005A35A2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96F78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96F78" w:rsidRPr="00050C78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，并理解词典在翻译实践中的定位。</w:t>
            </w:r>
          </w:p>
        </w:tc>
      </w:tr>
      <w:tr w:rsidR="00A96F78" w:rsidRPr="005A35A2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96F78" w:rsidRPr="005A35A2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96F78" w:rsidRPr="005A35A2" w:rsidRDefault="00A96F78" w:rsidP="00F250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96F78" w:rsidRDefault="00A96F78" w:rsidP="008C7E4E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96F78" w:rsidRDefault="00A96F78" w:rsidP="00F25040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词典在翻译实践中的定位</w:t>
            </w:r>
          </w:p>
          <w:p w:rsidR="00A96F78" w:rsidRPr="00E14C1C" w:rsidRDefault="00A96F78" w:rsidP="00F25040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:rsidR="00A96F78" w:rsidRPr="004767DB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:rsidR="00A96F78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:rsidR="00A96F78" w:rsidRDefault="00A96F78" w:rsidP="00E113E8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）线上实时沟通发现学生问题。</w:t>
            </w:r>
          </w:p>
          <w:p w:rsidR="00A96F78" w:rsidRPr="008C7E4E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）上课内容可以下载保存，自主学习，提高学习效率。</w:t>
            </w:r>
          </w:p>
        </w:tc>
      </w:tr>
      <w:tr w:rsidR="00A96F78" w:rsidRPr="005A35A2" w:rsidTr="00F25040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96F78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:rsidTr="00F25040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96F78" w:rsidRDefault="00A96F78">
      <w:pPr>
        <w:widowControl/>
        <w:jc w:val="left"/>
      </w:pPr>
    </w:p>
    <w:sectPr w:rsidR="00A96F78" w:rsidSect="00BF6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78" w:rsidRDefault="00A96F78" w:rsidP="00BF6A3B">
      <w:r>
        <w:separator/>
      </w:r>
    </w:p>
  </w:endnote>
  <w:endnote w:type="continuationSeparator" w:id="0">
    <w:p w:rsidR="00A96F78" w:rsidRDefault="00A96F78" w:rsidP="00BF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78" w:rsidRDefault="00A96F78">
    <w:pPr>
      <w:pStyle w:val="Foo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A96F78" w:rsidRDefault="00A96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78" w:rsidRDefault="00A96F78"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BE2E3B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A96F78" w:rsidRDefault="00A96F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78" w:rsidRDefault="00A96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78" w:rsidRDefault="00A96F78" w:rsidP="00BF6A3B">
      <w:r>
        <w:separator/>
      </w:r>
    </w:p>
  </w:footnote>
  <w:footnote w:type="continuationSeparator" w:id="0">
    <w:p w:rsidR="00A96F78" w:rsidRDefault="00A96F78" w:rsidP="00BF6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78" w:rsidRDefault="00A96F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78" w:rsidRDefault="00A96F78" w:rsidP="00E113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78" w:rsidRDefault="00A96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D5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7D0FF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C483D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47E0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086D5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12A9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724719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EA22A5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923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6060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425ABD"/>
    <w:multiLevelType w:val="hybridMultilevel"/>
    <w:tmpl w:val="B046DAA0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7AA3641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85D25F5"/>
    <w:multiLevelType w:val="hybridMultilevel"/>
    <w:tmpl w:val="A238A8BA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003"/>
    <w:rsid w:val="00050C78"/>
    <w:rsid w:val="001A51D8"/>
    <w:rsid w:val="001B17DA"/>
    <w:rsid w:val="002A208A"/>
    <w:rsid w:val="00355F1B"/>
    <w:rsid w:val="003844E3"/>
    <w:rsid w:val="004767DB"/>
    <w:rsid w:val="00561DA6"/>
    <w:rsid w:val="005A35A2"/>
    <w:rsid w:val="005C0A7A"/>
    <w:rsid w:val="00660477"/>
    <w:rsid w:val="007C23F2"/>
    <w:rsid w:val="008752AC"/>
    <w:rsid w:val="008C7E4E"/>
    <w:rsid w:val="008E1174"/>
    <w:rsid w:val="00A11A98"/>
    <w:rsid w:val="00A9351E"/>
    <w:rsid w:val="00A96F78"/>
    <w:rsid w:val="00B33931"/>
    <w:rsid w:val="00B91737"/>
    <w:rsid w:val="00BA48C9"/>
    <w:rsid w:val="00BE2E3B"/>
    <w:rsid w:val="00BF6A3B"/>
    <w:rsid w:val="00C10233"/>
    <w:rsid w:val="00C7171D"/>
    <w:rsid w:val="00C748D8"/>
    <w:rsid w:val="00CD4A54"/>
    <w:rsid w:val="00CE656D"/>
    <w:rsid w:val="00D545CA"/>
    <w:rsid w:val="00DB6003"/>
    <w:rsid w:val="00DD762C"/>
    <w:rsid w:val="00E113E8"/>
    <w:rsid w:val="00E14C1C"/>
    <w:rsid w:val="00E17D21"/>
    <w:rsid w:val="00E51E4D"/>
    <w:rsid w:val="00E60707"/>
    <w:rsid w:val="00E83251"/>
    <w:rsid w:val="00F25040"/>
    <w:rsid w:val="0F617E76"/>
    <w:rsid w:val="19E5017C"/>
    <w:rsid w:val="391F5F5B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6A3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6A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51D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F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6A3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china</cp:lastModifiedBy>
  <cp:revision>15</cp:revision>
  <dcterms:created xsi:type="dcterms:W3CDTF">2020-09-05T13:50:00Z</dcterms:created>
  <dcterms:modified xsi:type="dcterms:W3CDTF">2020-09-05T14:30:00Z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