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b/>
          <w:sz w:val="28"/>
          <w:szCs w:val="30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0385" y="35941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R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JW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33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8pt;margin-top:27.55pt;height:22.1pt;width:207.5pt;mso-position-horizontal-relative:page;mso-position-vertical-relative:page;z-index:251658240;mso-width-relative:page;mso-height-relative:page;" fillcolor="#FFFFFF" filled="t" stroked="f" coordsize="21600,21600" o:gfxdata="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MtWR5rUAAAACAEAAA8AAAAAAAAAAQAgAAAAIgAA&#10;AGRycy9kb3ducmV2LnhtbFBLAQIUABQAAAAIAIdO4kB4xKQiRQIAAFkEAAAOAAAAAAAAAAEAIAAA&#10;ACMBAABkcnMvZTJvRG9jLnhtbFBLBQYAAAAABgAGAFkBAADa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R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JW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33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28"/>
          <w:szCs w:val="30"/>
        </w:rPr>
        <w:t>【</w:t>
      </w:r>
      <w:r>
        <w:rPr>
          <w:rFonts w:hint="eastAsia"/>
          <w:b/>
          <w:sz w:val="28"/>
          <w:szCs w:val="28"/>
        </w:rPr>
        <w:t>日本文化礼仪</w:t>
      </w:r>
      <w:r>
        <w:rPr>
          <w:rFonts w:hint="eastAsia"/>
          <w:b/>
          <w:sz w:val="28"/>
          <w:szCs w:val="30"/>
        </w:rPr>
        <w:t>】</w:t>
      </w:r>
    </w:p>
    <w:p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hint="eastAsia" w:eastAsia="MS Mincho"/>
          <w:b/>
          <w:sz w:val="28"/>
          <w:szCs w:val="30"/>
          <w:lang w:eastAsia="ja-JP"/>
        </w:rPr>
        <w:t>Japanese cultural etiquette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>
      <w:pPr>
        <w:spacing w:beforeLines="50" w:afterLines="50" w:line="288" w:lineRule="auto"/>
        <w:ind w:firstLine="360" w:firstLineChars="150"/>
        <w:rPr>
          <w:b/>
          <w:color w:val="008080"/>
          <w:sz w:val="30"/>
          <w:szCs w:val="30"/>
        </w:rPr>
      </w:pPr>
      <w:r>
        <w:rPr>
          <w:rFonts w:ascii="黑体" w:hAnsi="宋体" w:eastAsia="黑体"/>
          <w:sz w:val="24"/>
        </w:rPr>
        <w:t>一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基本信息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 w:eastAsia="MS Mincho"/>
          <w:color w:val="000000"/>
          <w:sz w:val="20"/>
          <w:szCs w:val="20"/>
          <w:lang w:eastAsia="ja-JP"/>
        </w:rPr>
        <w:t>2020303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日语专业本科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院定知识学科必修课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/>
          <w:bCs/>
          <w:color w:val="000000"/>
          <w:sz w:val="20"/>
          <w:szCs w:val="20"/>
        </w:rPr>
        <w:t>外国语学院日语系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>
      <w:pPr>
        <w:snapToGrid w:val="0"/>
        <w:spacing w:line="288" w:lineRule="auto"/>
        <w:ind w:firstLine="792" w:firstLineChars="396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</w:t>
      </w:r>
      <w:r>
        <w:rPr>
          <w:rFonts w:hint="eastAsia"/>
          <w:color w:val="000000"/>
          <w:sz w:val="20"/>
          <w:szCs w:val="20"/>
        </w:rPr>
        <w:t>《职场日本语 商务礼仪篇》</w:t>
      </w:r>
      <w:r>
        <w:rPr>
          <w:rFonts w:hint="eastAsia" w:eastAsia="MS Mincho"/>
          <w:color w:val="000000"/>
          <w:sz w:val="20"/>
          <w:szCs w:val="20"/>
        </w:rPr>
        <w:t>釜渕佑子</w:t>
      </w:r>
      <w:r>
        <w:rPr>
          <w:rFonts w:hint="eastAsia"/>
          <w:color w:val="000000"/>
          <w:sz w:val="20"/>
          <w:szCs w:val="20"/>
        </w:rPr>
        <w:t xml:space="preserve"> 上海译文出版社 ISBN978-7-5327-6674-1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left="718" w:leftChars="342" w:firstLine="100" w:firstLineChars="5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参考</w:t>
      </w:r>
      <w:r>
        <w:rPr>
          <w:rFonts w:hint="eastAsia"/>
          <w:color w:val="000000"/>
          <w:sz w:val="20"/>
          <w:szCs w:val="20"/>
        </w:rPr>
        <w:t>书目</w:t>
      </w:r>
    </w:p>
    <w:p>
      <w:pPr>
        <w:snapToGrid w:val="0"/>
        <w:spacing w:line="288" w:lineRule="auto"/>
        <w:ind w:left="718" w:leftChars="342" w:firstLine="100" w:firstLineChars="5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《中国人与日本人》钟有祥 中外书局 ISBN978-7-5192-</w:t>
      </w:r>
      <w:r>
        <w:rPr>
          <w:rFonts w:hint="eastAsia" w:eastAsia="MS Mincho"/>
          <w:color w:val="000000"/>
          <w:sz w:val="20"/>
          <w:szCs w:val="20"/>
        </w:rPr>
        <w:t>4</w:t>
      </w:r>
      <w:r>
        <w:rPr>
          <w:rFonts w:hint="eastAsia"/>
          <w:color w:val="000000"/>
          <w:sz w:val="20"/>
          <w:szCs w:val="20"/>
        </w:rPr>
        <w:t>323-</w:t>
      </w:r>
      <w:r>
        <w:rPr>
          <w:rFonts w:hint="eastAsia" w:eastAsia="MS Mincho"/>
          <w:color w:val="000000"/>
          <w:sz w:val="20"/>
          <w:szCs w:val="20"/>
        </w:rPr>
        <w:t>4</w:t>
      </w:r>
    </w:p>
    <w:p>
      <w:pPr>
        <w:snapToGrid w:val="0"/>
        <w:spacing w:line="288" w:lineRule="auto"/>
        <w:ind w:left="840" w:leftChars="400"/>
        <w:rPr>
          <w:color w:val="000000"/>
          <w:sz w:val="20"/>
          <w:szCs w:val="20"/>
          <w:lang w:eastAsia="ja-JP"/>
        </w:rPr>
      </w:pPr>
      <w:r>
        <w:rPr>
          <w:rFonts w:hint="eastAsia" w:ascii="MS Mincho" w:hAnsi="MS Mincho" w:eastAsia="MS Mincho"/>
          <w:color w:val="000000"/>
          <w:sz w:val="20"/>
          <w:szCs w:val="20"/>
          <w:lang w:eastAsia="ja-JP"/>
        </w:rPr>
        <w:t>『大人のマナー講座』日本マナープロトコル協会著</w:t>
      </w:r>
      <w:r>
        <w:rPr>
          <w:rFonts w:hint="eastAsia"/>
          <w:color w:val="000000"/>
          <w:sz w:val="20"/>
          <w:szCs w:val="20"/>
          <w:lang w:eastAsia="ja-JP"/>
        </w:rPr>
        <w:t xml:space="preserve"> </w:t>
      </w:r>
      <w:r>
        <w:rPr>
          <w:rFonts w:hint="eastAsia" w:ascii="MS Mincho" w:hAnsi="MS Mincho" w:eastAsia="MS Mincho"/>
          <w:color w:val="000000"/>
          <w:sz w:val="20"/>
          <w:szCs w:val="20"/>
          <w:lang w:eastAsia="ja-JP"/>
        </w:rPr>
        <w:t>PHP出版</w:t>
      </w:r>
      <w:r>
        <w:rPr>
          <w:rFonts w:hint="eastAsia"/>
          <w:color w:val="000000"/>
          <w:sz w:val="20"/>
          <w:szCs w:val="20"/>
          <w:lang w:eastAsia="ja-JP"/>
        </w:rPr>
        <w:t xml:space="preserve"> ISBN</w:t>
      </w:r>
      <w:r>
        <w:rPr>
          <w:color w:val="000000"/>
          <w:sz w:val="20"/>
          <w:szCs w:val="20"/>
          <w:lang w:eastAsia="ja-JP"/>
        </w:rPr>
        <w:t>978</w:t>
      </w:r>
      <w:r>
        <w:rPr>
          <w:rFonts w:hint="eastAsia"/>
          <w:color w:val="000000"/>
          <w:sz w:val="20"/>
          <w:szCs w:val="20"/>
          <w:lang w:eastAsia="ja-JP"/>
        </w:rPr>
        <w:t>-</w:t>
      </w:r>
      <w:r>
        <w:rPr>
          <w:color w:val="000000"/>
          <w:sz w:val="20"/>
          <w:szCs w:val="20"/>
          <w:lang w:eastAsia="ja-JP"/>
        </w:rPr>
        <w:t>4</w:t>
      </w:r>
      <w:r>
        <w:rPr>
          <w:rFonts w:hint="eastAsia"/>
          <w:color w:val="000000"/>
          <w:sz w:val="20"/>
          <w:szCs w:val="20"/>
          <w:lang w:eastAsia="ja-JP"/>
        </w:rPr>
        <w:t>-5</w:t>
      </w:r>
      <w:r>
        <w:rPr>
          <w:rFonts w:hint="eastAsia" w:eastAsia="MS Mincho"/>
          <w:color w:val="000000"/>
          <w:sz w:val="20"/>
          <w:szCs w:val="20"/>
          <w:lang w:eastAsia="ja-JP"/>
        </w:rPr>
        <w:t>6</w:t>
      </w:r>
      <w:r>
        <w:rPr>
          <w:rFonts w:eastAsia="MS Mincho"/>
          <w:color w:val="000000"/>
          <w:sz w:val="20"/>
          <w:szCs w:val="20"/>
          <w:lang w:eastAsia="ja-JP"/>
        </w:rPr>
        <w:t>9</w:t>
      </w:r>
      <w:r>
        <w:rPr>
          <w:rFonts w:hint="eastAsia"/>
          <w:color w:val="000000"/>
          <w:sz w:val="20"/>
          <w:szCs w:val="20"/>
          <w:lang w:eastAsia="ja-JP"/>
        </w:rPr>
        <w:t>-79</w:t>
      </w:r>
      <w:r>
        <w:rPr>
          <w:color w:val="000000"/>
          <w:sz w:val="20"/>
          <w:szCs w:val="20"/>
          <w:lang w:eastAsia="ja-JP"/>
        </w:rPr>
        <w:t>594</w:t>
      </w:r>
      <w:r>
        <w:rPr>
          <w:rFonts w:hint="eastAsia"/>
          <w:color w:val="000000"/>
          <w:sz w:val="20"/>
          <w:szCs w:val="20"/>
          <w:lang w:eastAsia="ja-JP"/>
        </w:rPr>
        <w:t>-</w:t>
      </w:r>
      <w:r>
        <w:rPr>
          <w:color w:val="000000"/>
          <w:sz w:val="20"/>
          <w:szCs w:val="20"/>
          <w:lang w:eastAsia="ja-JP"/>
        </w:rPr>
        <w:t>2</w:t>
      </w:r>
    </w:p>
    <w:p>
      <w:pPr>
        <w:snapToGrid w:val="0"/>
        <w:spacing w:line="288" w:lineRule="auto"/>
        <w:ind w:left="718" w:leftChars="342" w:firstLine="100" w:firstLineChars="5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《我看日本30年》马吴生 上海文艺出版社 ISBN978-5321-</w:t>
      </w:r>
      <w:r>
        <w:rPr>
          <w:rFonts w:hint="eastAsia" w:eastAsia="MS Mincho"/>
          <w:color w:val="000000"/>
          <w:sz w:val="20"/>
          <w:szCs w:val="20"/>
        </w:rPr>
        <w:t>64</w:t>
      </w:r>
      <w:r>
        <w:rPr>
          <w:rFonts w:hint="eastAsia"/>
          <w:color w:val="000000"/>
          <w:sz w:val="20"/>
          <w:szCs w:val="20"/>
        </w:rPr>
        <w:t>5</w:t>
      </w:r>
      <w:r>
        <w:rPr>
          <w:rFonts w:hint="eastAsia" w:eastAsia="MS Mincho"/>
          <w:color w:val="000000"/>
          <w:sz w:val="20"/>
          <w:szCs w:val="20"/>
        </w:rPr>
        <w:t>4</w:t>
      </w:r>
      <w:r>
        <w:rPr>
          <w:rFonts w:hint="eastAsia"/>
          <w:color w:val="000000"/>
          <w:sz w:val="20"/>
          <w:szCs w:val="20"/>
        </w:rPr>
        <w:t>-71-5158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left="718" w:leftChars="342" w:firstLine="100" w:firstLineChars="5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  <w:r>
        <w:rPr>
          <w:rFonts w:hint="eastAsia"/>
          <w:color w:val="000000"/>
          <w:sz w:val="20"/>
          <w:szCs w:val="20"/>
        </w:rPr>
        <w:t>（因为无完整的教材，使用的教材由教师编写，所以没有网站。）</w:t>
      </w:r>
    </w:p>
    <w:p>
      <w:pPr>
        <w:adjustRightInd w:val="0"/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无</w:t>
      </w:r>
      <w:r>
        <w:rPr>
          <w:color w:val="000000"/>
          <w:sz w:val="20"/>
          <w:szCs w:val="20"/>
        </w:rPr>
        <w:t>】</w:t>
      </w:r>
    </w:p>
    <w:p>
      <w:pPr>
        <w:adjustRightInd w:val="0"/>
        <w:snapToGrid w:val="0"/>
        <w:spacing w:line="288" w:lineRule="auto"/>
        <w:ind w:firstLine="470" w:firstLineChars="196"/>
        <w:rPr>
          <w:rFonts w:ascii="黑体" w:hAnsi="宋体" w:eastAsia="黑体"/>
          <w:sz w:val="24"/>
        </w:rPr>
      </w:pPr>
    </w:p>
    <w:p>
      <w:pPr>
        <w:adjustRightInd w:val="0"/>
        <w:snapToGrid w:val="0"/>
        <w:spacing w:before="156" w:beforeLines="50" w:after="156" w:afterLines="50" w:line="288" w:lineRule="auto"/>
        <w:ind w:firstLine="348" w:firstLineChars="145"/>
        <w:rPr>
          <w:b/>
          <w:color w:val="000000"/>
          <w:sz w:val="24"/>
          <w:szCs w:val="20"/>
        </w:rPr>
      </w:pPr>
      <w:r>
        <w:rPr>
          <w:rFonts w:ascii="黑体" w:hAnsi="宋体" w:eastAsia="黑体"/>
          <w:sz w:val="24"/>
        </w:rPr>
        <w:t>二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课程简介（必填项）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此处概述课程</w:t>
      </w:r>
      <w:r>
        <w:rPr>
          <w:rFonts w:hint="eastAsia"/>
          <w:color w:val="000000"/>
          <w:sz w:val="20"/>
          <w:szCs w:val="20"/>
        </w:rPr>
        <w:t>的研究对象及课程在专业中的作用与地位</w:t>
      </w:r>
      <w:r>
        <w:rPr>
          <w:color w:val="000000"/>
          <w:sz w:val="20"/>
          <w:szCs w:val="20"/>
        </w:rPr>
        <w:t>，使学生对该课程有一个总体了解。</w:t>
      </w:r>
      <w:r>
        <w:rPr>
          <w:rFonts w:hint="eastAsia"/>
          <w:color w:val="000000"/>
          <w:sz w:val="20"/>
          <w:szCs w:val="20"/>
        </w:rPr>
        <w:t>）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是中日两国的文化范畴的比较性研究，包括中日两国的语言习惯、风俗习惯、风土人情、思维方法、行为礼仪等各个方面。日本文化受古代的中国文化的影响颇深，因此日本文化与中国文化比较接近。近代以后，日本文化受欧美文化的影响比较大，所以现代日本人与现代中国人的文化产生了不少异同。本课程根据中日文化的异同作出了一些比较，使学习日语的学生能够了解中日文化的区别，对语言学习有一定的帮助。本课程以中日两国的里应外合方面的差异为重点，进行了分析和比较，使学生能够理解中日礼仪文化的差异，做到取长补短、修身养心。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本课程的教授对象是日语专业的大三学生，因为文化是语言的基础，因此学习中日文化的比较，能够加深对日本的了解、对日语的了解、对日本文化的各个领域的了解，进而提高日语水平。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三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选课建议（必填项）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本课程适合以日语为主要学习课程的学生</w:t>
      </w:r>
      <w:r>
        <w:rPr>
          <w:rFonts w:hint="eastAsia" w:ascii="MS Mincho" w:hAnsi="MS Mincho" w:eastAsia="MS Mincho"/>
          <w:color w:val="000000"/>
          <w:sz w:val="20"/>
          <w:szCs w:val="20"/>
        </w:rPr>
        <w:t>。</w:t>
      </w:r>
      <w:r>
        <w:rPr>
          <w:rFonts w:hint="eastAsia"/>
          <w:color w:val="000000"/>
          <w:sz w:val="20"/>
          <w:szCs w:val="20"/>
        </w:rPr>
        <w:t>学习当该课程的学生必需具有一定的日语基础知识，以二、三年级的学生为宜。</w:t>
      </w:r>
    </w:p>
    <w:p>
      <w:pPr>
        <w:widowControl/>
        <w:numPr>
          <w:ilvl w:val="0"/>
          <w:numId w:val="1"/>
        </w:numPr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课程与</w:t>
      </w:r>
      <w:r>
        <w:rPr>
          <w:rFonts w:hint="eastAsia" w:ascii="黑体" w:hAnsi="宋体" w:eastAsia="黑体"/>
          <w:sz w:val="24"/>
        </w:rPr>
        <w:t>专业毕业要求</w:t>
      </w:r>
      <w:r>
        <w:rPr>
          <w:rFonts w:ascii="黑体" w:hAnsi="宋体" w:eastAsia="黑体"/>
          <w:sz w:val="24"/>
        </w:rPr>
        <w:t>的关联性</w:t>
      </w:r>
    </w:p>
    <w:tbl>
      <w:tblPr>
        <w:tblStyle w:val="6"/>
        <w:tblpPr w:leftFromText="180" w:rightFromText="180" w:vertAnchor="text" w:horzAnchor="page" w:tblpX="2375" w:tblpY="242"/>
        <w:tblOverlap w:val="never"/>
        <w:tblW w:w="75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6095"/>
        <w:gridCol w:w="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2" w:type="dxa"/>
            <w:gridSpan w:val="2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618" w:type="dxa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关联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17" w:type="dxa"/>
            <w:vMerge w:val="restart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LO11：</w:t>
            </w:r>
          </w:p>
        </w:tc>
        <w:tc>
          <w:tcPr>
            <w:tcW w:w="6095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LO111倾听他人意见、尊重他人观点、分析他人需求。</w:t>
            </w: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LO112应用书面或口头形式，阐释自己的观点，有效沟通。</w:t>
            </w: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LO21：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LO211能根据需要自己确定学习目标，并设计学习计划。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L0212能搜集、获取达到目标所需要的学习资源，实施学习计划、反思学习计划、持续改进，达到学习目标。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LO31：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LO311能听懂正常语速下的日语对话，根据语调和重音理解说话者的意图，能听懂语段内容，并提取信息和观点。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LO312掌握正确的发音，能够使用日语进行交流与表达。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LO313掌握日语阅读技能，包括细读、泛读、评读等能力，提高分析归纳、推理检验等逻辑思维能力。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LO314了解日语写作的基础知识，摆脱汉语的思维方式，用地道的日语进行表情达意，具备必要的应用文写作技能。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LO315了解并掌握翻译技巧，了解不同文体的语言特点和翻译方法，能使用中日两种语言进行各种翻译活动。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LO32：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LO321了解语言学的一般理论，以及语言学研究的发展与现状。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LO322透彻分析日语语素、词汇及语法结构，能对语法现象进行分析归纳与总结。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LO323了解日本文学史上不同时期的重要作家及其代表作品。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LO324具备阅读、欣赏、理解日本文学原著的能力，掌握文学批评的基本知识和方法。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LO33：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LO331了解日本文化、社会和风土人情，认识中日文化差异。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LO332具有跨文化交际能力，掌握有效的认知、调控、交际策略和跨文化理解能力。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LO34：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LO341掌握商务相关的基本理论知识，国家对外贸易方针、政策以及具备国际商务实务操作的技能和素质。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LO342能够使用日语语言处理商务活动中的常规业务，能用中日文双语撰写外贸函电，填写国际贸易的单证，起草外贸合同。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LO41：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L0411遵纪守法：遵守校纪校规，具备法律意识。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L0412 诚实守信：为人诚实，信守承诺，尽职尽责。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LO413爱岗敬业：了解与专业相关的法律法规，充分认识本专业就业岗位在社会经济中的作用和地位，在学习和社会实践中遵守职业规范，具备职业道德操守。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LO414身心健康，能承受学习和生活中的压力。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LO51：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L0511在集体活动中能主动担任自己的角色，与其他成员密切合作，共同完成任务。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L0512 有质疑精神，能有逻辑的分析与批判。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L0513 能用创新的方法或者多种方法解决复杂问题或真实问题。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L0514了解行业前沿知识技术。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LO61：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LO611能够根据需要进行专业文献检索。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LO612能够使用适合的工具来搜集信息，并对信息加以分析、鉴别、判断与整合。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LO613熟练使用计算机，掌握常用办公软件。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LO71：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LO711爱党爱国：了解祖国的优秀传统文化和革命历史，构建爱党爱国的理想信念。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LO712助人为乐：富于爱心，懂得感恩，具备助人为乐的品质。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LO713奉献社会：具有服务企业、服务社会的意愿和行为能力。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LO714爱护环境：具有爱护环境的意识和与自然和谐相处的环保理念。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LO81：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LO811具备外语表达沟通能力，达到本专业的要求。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LO812理解其他国家历史文化，有跨文化交流能力。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LO813有国际竞争与合作意识。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>
      <w:pPr>
        <w:widowControl/>
        <w:spacing w:before="156" w:beforeLines="50" w:after="156" w:afterLines="50" w:line="288" w:lineRule="auto"/>
        <w:jc w:val="left"/>
        <w:rPr>
          <w:rFonts w:eastAsiaTheme="minorEastAsia"/>
        </w:rPr>
      </w:pPr>
      <w:r>
        <w:rPr>
          <w:rFonts w:hint="eastAsia"/>
        </w:rPr>
        <w:t>备注：LO=</w:t>
      </w:r>
      <w:r>
        <w:t>learning outcomes</w:t>
      </w:r>
      <w:r>
        <w:rPr>
          <w:rFonts w:hint="eastAsia"/>
        </w:rPr>
        <w:t>（学习成果）</w:t>
      </w: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eastAsiaTheme="minorEastAsia"/>
          <w:sz w:val="20"/>
          <w:szCs w:val="20"/>
        </w:rPr>
      </w:pPr>
      <w:r>
        <w:rPr>
          <w:rFonts w:hint="eastAsia" w:ascii="黑体" w:hAnsi="宋体" w:eastAsia="黑体"/>
          <w:sz w:val="24"/>
        </w:rPr>
        <w:t>五、</w:t>
      </w:r>
      <w:r>
        <w:rPr>
          <w:rFonts w:ascii="黑体" w:hAnsi="宋体" w:eastAsia="黑体"/>
          <w:sz w:val="24"/>
        </w:rPr>
        <w:t>课程</w:t>
      </w:r>
      <w:r>
        <w:rPr>
          <w:rFonts w:hint="eastAsia" w:ascii="黑体" w:hAnsi="宋体" w:eastAsia="黑体"/>
          <w:sz w:val="24"/>
        </w:rPr>
        <w:t>目标/课程预期学习成果</w:t>
      </w:r>
      <w:r>
        <w:rPr>
          <w:rFonts w:ascii="黑体" w:hAnsi="宋体" w:eastAsia="黑体"/>
          <w:sz w:val="24"/>
        </w:rPr>
        <w:t>（必填项）（</w:t>
      </w:r>
      <w:r>
        <w:rPr>
          <w:rFonts w:hint="eastAsia" w:ascii="黑体" w:hAnsi="宋体" w:eastAsia="黑体"/>
          <w:sz w:val="24"/>
        </w:rPr>
        <w:t>预期学习成果</w:t>
      </w:r>
      <w:r>
        <w:rPr>
          <w:rFonts w:ascii="黑体" w:hAnsi="宋体" w:eastAsia="黑体"/>
          <w:sz w:val="24"/>
        </w:rPr>
        <w:t>要可测量/能够证明）</w:t>
      </w:r>
    </w:p>
    <w:tbl>
      <w:tblPr>
        <w:tblStyle w:val="5"/>
        <w:tblpPr w:leftFromText="180" w:rightFromText="180" w:vertAnchor="text" w:horzAnchor="page" w:tblpX="2163" w:tblpY="152"/>
        <w:tblOverlap w:val="never"/>
        <w:tblW w:w="7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175"/>
        <w:gridCol w:w="2470"/>
        <w:gridCol w:w="219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LO112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具备书面和语言能力，善于与他人沟通。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讲解和讨论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书面考试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Merge w:val="restart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vMerge w:val="restart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LO331</w:t>
            </w: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LO332</w:t>
            </w: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掌握中日礼仪差异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讲解和讨论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书面考试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理解中日文化差异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讲解和讨论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书面考试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提高文化交际能力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讲解和讨论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书面考试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Merge w:val="restart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vMerge w:val="restart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LO711</w:t>
            </w: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LO712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了解祖国传统文化，热爱祖国。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讲解和讨论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书面考试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具备助人为乐的爱心，懂得感恩。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讲解和讨论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书面考试</w:t>
            </w:r>
          </w:p>
        </w:tc>
      </w:tr>
    </w:tbl>
    <w:p>
      <w:pPr>
        <w:snapToGrid w:val="0"/>
        <w:spacing w:line="288" w:lineRule="auto"/>
        <w:rPr>
          <w:rFonts w:ascii="黑体" w:hAnsi="宋体" w:eastAsia="黑体"/>
          <w:sz w:val="24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六、</w:t>
      </w:r>
      <w:r>
        <w:rPr>
          <w:rFonts w:ascii="黑体" w:hAnsi="宋体" w:eastAsia="黑体"/>
          <w:sz w:val="24"/>
        </w:rPr>
        <w:t>课程内容（必填项）</w:t>
      </w:r>
    </w:p>
    <w:p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>
      <w:pPr>
        <w:snapToGrid w:val="0"/>
        <w:spacing w:line="288" w:lineRule="auto"/>
        <w:ind w:firstLine="4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本课程总课时为32学时，每个单元各为8学时。教师的授课和学生的讨论包括在内。课外作业的时间不包括在内。</w:t>
      </w:r>
    </w:p>
    <w:p>
      <w:pPr>
        <w:snapToGrid w:val="0"/>
        <w:spacing w:line="288" w:lineRule="auto"/>
        <w:jc w:val="center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课程内容和能力要求极其重点等一览表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795"/>
        <w:gridCol w:w="1830"/>
        <w:gridCol w:w="2205"/>
        <w:gridCol w:w="2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795" w:type="dxa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课时</w:t>
            </w:r>
          </w:p>
        </w:tc>
        <w:tc>
          <w:tcPr>
            <w:tcW w:w="1830" w:type="dxa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授课内容</w:t>
            </w:r>
          </w:p>
        </w:tc>
        <w:tc>
          <w:tcPr>
            <w:tcW w:w="2205" w:type="dxa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知识和能力的要求</w:t>
            </w:r>
          </w:p>
        </w:tc>
        <w:tc>
          <w:tcPr>
            <w:tcW w:w="2971" w:type="dxa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教学重点和难点列举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795" w:type="dxa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8</w:t>
            </w:r>
          </w:p>
        </w:tc>
        <w:tc>
          <w:tcPr>
            <w:tcW w:w="1830" w:type="dxa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日常生活中的礼仪</w:t>
            </w:r>
          </w:p>
        </w:tc>
        <w:tc>
          <w:tcPr>
            <w:tcW w:w="2205" w:type="dxa"/>
          </w:tcPr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要求学生理解中日两国民众在生活中礼仪的差异，举办与日本人交往的能力。</w:t>
            </w:r>
          </w:p>
        </w:tc>
        <w:tc>
          <w:tcPr>
            <w:tcW w:w="2971" w:type="dxa"/>
          </w:tcPr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用实例说明中日两国民众在日常生活的理由的差异，分析差异产生的原因。使学生在行为、举止方面吸收好的做法，关键落实到行动中。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</w:t>
            </w:r>
          </w:p>
        </w:tc>
        <w:tc>
          <w:tcPr>
            <w:tcW w:w="795" w:type="dxa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8</w:t>
            </w:r>
          </w:p>
        </w:tc>
        <w:tc>
          <w:tcPr>
            <w:tcW w:w="1830" w:type="dxa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工作和交往的礼仪</w:t>
            </w:r>
          </w:p>
        </w:tc>
        <w:tc>
          <w:tcPr>
            <w:tcW w:w="2205" w:type="dxa"/>
          </w:tcPr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使学生了解工作和人际交往过程中的各种礼仪的差异，提升个人的工作能力和人际交往能力。</w:t>
            </w:r>
          </w:p>
        </w:tc>
        <w:tc>
          <w:tcPr>
            <w:tcW w:w="2971" w:type="dxa"/>
          </w:tcPr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日本社会是等级社会，而中国是比较平等的社会。分析两国社会现状的历史原因和社会原因等。使学生在以后的留学生活和工作中能够处理与中国不同的社会关系。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</w:t>
            </w:r>
          </w:p>
        </w:tc>
        <w:tc>
          <w:tcPr>
            <w:tcW w:w="795" w:type="dxa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8</w:t>
            </w:r>
          </w:p>
        </w:tc>
        <w:tc>
          <w:tcPr>
            <w:tcW w:w="1830" w:type="dxa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衣食住行的差异</w:t>
            </w:r>
          </w:p>
        </w:tc>
        <w:tc>
          <w:tcPr>
            <w:tcW w:w="2205" w:type="dxa"/>
          </w:tcPr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这是中日文化差异的一个部分。要求学生理解中日两国民众在衣食住行方面的差异，取长补短，提高个人素质。</w:t>
            </w:r>
          </w:p>
        </w:tc>
        <w:tc>
          <w:tcPr>
            <w:tcW w:w="2971" w:type="dxa"/>
          </w:tcPr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人们在衣食住行方面的习惯、习性是长期养成的，要改变自己的行为、习性是痛苦的。需要用实例进行分析，人学生明白个人素质的重要性。落实到个人的行为、举止上是比较困难的。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95" w:type="dxa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8</w:t>
            </w:r>
          </w:p>
        </w:tc>
        <w:tc>
          <w:tcPr>
            <w:tcW w:w="1830" w:type="dxa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风俗习惯的差异</w:t>
            </w:r>
          </w:p>
        </w:tc>
        <w:tc>
          <w:tcPr>
            <w:tcW w:w="2205" w:type="dxa"/>
          </w:tcPr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中日两国的风俗习惯、风土人情等存在着差异。要求学生理解这种差异，懂得入乡随俗的重要性，以便在今后的留学和工作中能够适应环境的需要。</w:t>
            </w:r>
          </w:p>
        </w:tc>
        <w:tc>
          <w:tcPr>
            <w:tcW w:w="2971" w:type="dxa"/>
          </w:tcPr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日本的许多风俗习惯、风土人情是从中国引进的，但是随着历史的进程，许多风俗习惯、风土人情都发生了细微的变化。这些细微的差异是教学中需要讲解的，也是重点和难点。只有尊重他人才能够得到他人的尊重。</w:t>
            </w:r>
          </w:p>
        </w:tc>
      </w:tr>
    </w:tbl>
    <w:p>
      <w:pPr>
        <w:snapToGrid w:val="0"/>
        <w:spacing w:line="288" w:lineRule="auto"/>
        <w:ind w:right="26"/>
        <w:rPr>
          <w:sz w:val="20"/>
          <w:szCs w:val="20"/>
        </w:rPr>
      </w:pPr>
    </w:p>
    <w:p>
      <w:pPr>
        <w:snapToGrid w:val="0"/>
        <w:spacing w:line="288" w:lineRule="auto"/>
        <w:ind w:right="2520" w:firstLine="480" w:firstLineChars="200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  <w:lang w:val="en-US" w:eastAsia="zh-CN"/>
        </w:rPr>
        <w:t>七</w:t>
      </w:r>
      <w:r>
        <w:rPr>
          <w:rFonts w:hint="eastAsia" w:ascii="黑体" w:hAnsi="宋体" w:eastAsia="黑体"/>
          <w:sz w:val="24"/>
        </w:rPr>
        <w:t>、评价方式与成绩</w:t>
      </w:r>
    </w:p>
    <w:tbl>
      <w:tblPr>
        <w:tblStyle w:val="5"/>
        <w:tblpPr w:leftFromText="180" w:rightFromText="180" w:vertAnchor="text" w:horzAnchor="page" w:tblpX="1853" w:tblpY="717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  <w:vAlign w:val="top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</w:rPr>
              <w:t>期末考试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  <w:vAlign w:val="top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</w:rPr>
              <w:t>随堂测验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  <w:vAlign w:val="top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</w:rPr>
              <w:t>随堂测验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  <w:vAlign w:val="top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</w:rPr>
              <w:t>随堂测验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15%</w:t>
            </w:r>
          </w:p>
        </w:tc>
      </w:tr>
    </w:tbl>
    <w:p>
      <w:pPr>
        <w:snapToGrid w:val="0"/>
        <w:spacing w:before="120" w:after="120" w:line="288" w:lineRule="auto"/>
        <w:rPr>
          <w:rFonts w:ascii="宋体" w:hAnsi="宋体"/>
          <w:sz w:val="20"/>
          <w:szCs w:val="20"/>
          <w:highlight w:val="yellow"/>
        </w:rPr>
      </w:pP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  <w:highlight w:val="yellow"/>
        </w:rPr>
      </w:pPr>
    </w:p>
    <w:p>
      <w:pPr>
        <w:snapToGrid w:val="0"/>
        <w:spacing w:line="288" w:lineRule="auto"/>
      </w:pPr>
      <w:r>
        <w:rPr>
          <w:rFonts w:hint="eastAsia"/>
          <w:sz w:val="28"/>
          <w:szCs w:val="28"/>
        </w:rPr>
        <w:t>撰写人：</w:t>
      </w:r>
      <w:r>
        <w:rPr>
          <w:rFonts w:hint="eastAsia" w:ascii="MS Mincho" w:hAnsi="MS Mincho" w:eastAsia="MS Mincho"/>
          <w:sz w:val="28"/>
          <w:szCs w:val="28"/>
        </w:rPr>
        <w:t>一條祐子</w:t>
      </w:r>
      <w:r>
        <w:rPr>
          <w:rFonts w:hint="eastAsia" w:ascii="MS Mincho" w:hAnsi="MS Mincho"/>
          <w:sz w:val="28"/>
          <w:szCs w:val="28"/>
          <w:lang w:val="en-US" w:eastAsia="zh-CN"/>
        </w:rPr>
        <w:t xml:space="preserve">    </w:t>
      </w:r>
      <w:bookmarkStart w:id="1" w:name="_GoBack"/>
      <w:bookmarkEnd w:id="1"/>
      <w:r>
        <w:rPr>
          <w:rFonts w:hint="eastAsia"/>
          <w:sz w:val="28"/>
          <w:szCs w:val="28"/>
        </w:rPr>
        <w:t>系主任审核签名：</w:t>
      </w:r>
      <w:r>
        <w:rPr>
          <w:rFonts w:hint="eastAsia"/>
          <w:sz w:val="28"/>
          <w:szCs w:val="28"/>
          <w:lang w:val="en-US" w:eastAsia="zh-CN"/>
        </w:rPr>
        <w:t xml:space="preserve">         </w:t>
      </w:r>
      <w:r>
        <w:rPr>
          <w:rFonts w:hint="eastAsia"/>
          <w:sz w:val="28"/>
          <w:szCs w:val="28"/>
        </w:rPr>
        <w:t>审核时间：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6EFE0D"/>
    <w:multiLevelType w:val="singleLevel"/>
    <w:tmpl w:val="936EFE0D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1F"/>
    <w:rsid w:val="001072BC"/>
    <w:rsid w:val="00256B39"/>
    <w:rsid w:val="0026033C"/>
    <w:rsid w:val="002E3721"/>
    <w:rsid w:val="00313BBA"/>
    <w:rsid w:val="0032602E"/>
    <w:rsid w:val="003367AE"/>
    <w:rsid w:val="003B1258"/>
    <w:rsid w:val="004100B0"/>
    <w:rsid w:val="005467DC"/>
    <w:rsid w:val="00553D03"/>
    <w:rsid w:val="005B2B6D"/>
    <w:rsid w:val="005B4B4E"/>
    <w:rsid w:val="00624FE1"/>
    <w:rsid w:val="007208D6"/>
    <w:rsid w:val="008B397C"/>
    <w:rsid w:val="008B47F4"/>
    <w:rsid w:val="00900019"/>
    <w:rsid w:val="0099063E"/>
    <w:rsid w:val="00A769B1"/>
    <w:rsid w:val="00A837D5"/>
    <w:rsid w:val="00AC4C45"/>
    <w:rsid w:val="00B46F21"/>
    <w:rsid w:val="00B511A5"/>
    <w:rsid w:val="00B736A7"/>
    <w:rsid w:val="00B7651F"/>
    <w:rsid w:val="00C56E09"/>
    <w:rsid w:val="00CF096B"/>
    <w:rsid w:val="00E16D30"/>
    <w:rsid w:val="00E33169"/>
    <w:rsid w:val="00E70904"/>
    <w:rsid w:val="00EF44B1"/>
    <w:rsid w:val="00F35AA0"/>
    <w:rsid w:val="016E63C2"/>
    <w:rsid w:val="024B0C39"/>
    <w:rsid w:val="02896EE4"/>
    <w:rsid w:val="03785E8F"/>
    <w:rsid w:val="05827871"/>
    <w:rsid w:val="06421089"/>
    <w:rsid w:val="079131FC"/>
    <w:rsid w:val="09482CCD"/>
    <w:rsid w:val="0A8128A6"/>
    <w:rsid w:val="0BDE49F8"/>
    <w:rsid w:val="0BF32A1B"/>
    <w:rsid w:val="0FFA5589"/>
    <w:rsid w:val="10BD2C22"/>
    <w:rsid w:val="13FA5219"/>
    <w:rsid w:val="1D814953"/>
    <w:rsid w:val="22987C80"/>
    <w:rsid w:val="24192CCC"/>
    <w:rsid w:val="2C71584E"/>
    <w:rsid w:val="39A66CD4"/>
    <w:rsid w:val="3C7D4FB5"/>
    <w:rsid w:val="3CD52CE1"/>
    <w:rsid w:val="3DB47B36"/>
    <w:rsid w:val="3DCB345B"/>
    <w:rsid w:val="3E497394"/>
    <w:rsid w:val="410F2E6A"/>
    <w:rsid w:val="433B3139"/>
    <w:rsid w:val="4430136C"/>
    <w:rsid w:val="46BF20CD"/>
    <w:rsid w:val="472D6416"/>
    <w:rsid w:val="4AB0382B"/>
    <w:rsid w:val="569868B5"/>
    <w:rsid w:val="5AF1515D"/>
    <w:rsid w:val="5F4F0CE4"/>
    <w:rsid w:val="611F6817"/>
    <w:rsid w:val="6470330B"/>
    <w:rsid w:val="66CA1754"/>
    <w:rsid w:val="6A7161EF"/>
    <w:rsid w:val="6F1E65D4"/>
    <w:rsid w:val="6F266C86"/>
    <w:rsid w:val="6F5042C2"/>
    <w:rsid w:val="70246516"/>
    <w:rsid w:val="74316312"/>
    <w:rsid w:val="780F13C8"/>
    <w:rsid w:val="793801DD"/>
    <w:rsid w:val="7C385448"/>
    <w:rsid w:val="7CB3663D"/>
    <w:rsid w:val="7DD443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274</Words>
  <Characters>1563</Characters>
  <Lines>13</Lines>
  <Paragraphs>3</Paragraphs>
  <TotalTime>0</TotalTime>
  <ScaleCrop>false</ScaleCrop>
  <LinksUpToDate>false</LinksUpToDate>
  <CharactersWithSpaces>1834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2016-12-19T07:34:00Z</dcterms:created>
  <dc:creator>juvg</dc:creator>
  <cp:lastModifiedBy>刘尔瑟</cp:lastModifiedBy>
  <dcterms:modified xsi:type="dcterms:W3CDTF">2019-09-11T14:41:58Z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