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gyiFD1wAAAAgBAAAPAAAAAAAAAAEAIAAAACIAAABkcnMvZG93bnJldi54bWxQSwECFAAU&#10;AAAACACHTuJAv5b81isCAAA+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cs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b/>
          <w:bCs/>
          <w:sz w:val="28"/>
          <w:szCs w:val="28"/>
        </w:rPr>
        <w:t>外贸日语函电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bCs/>
          <w:sz w:val="28"/>
          <w:szCs w:val="28"/>
        </w:rPr>
        <w:t>Japanese Trade Telegram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rFonts w:hint="eastAsia" w:ascii="黑体" w:hAnsi="宋体" w:eastAsia="黑体" w:cs="黑体"/>
          <w:sz w:val="24"/>
          <w:szCs w:val="24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课程代码：</w:t>
      </w:r>
      <w:r>
        <w:rPr>
          <w:sz w:val="20"/>
          <w:szCs w:val="20"/>
        </w:rPr>
        <w:t>2020103</w:t>
      </w:r>
    </w:p>
    <w:p>
      <w:pPr>
        <w:snapToGrid w:val="0"/>
        <w:spacing w:line="288" w:lineRule="auto"/>
        <w:ind w:firstLine="394" w:firstLineChars="196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2</w:t>
      </w:r>
    </w:p>
    <w:p>
      <w:pPr>
        <w:snapToGrid w:val="0"/>
        <w:spacing w:line="288" w:lineRule="auto"/>
        <w:ind w:firstLine="394" w:firstLineChars="196"/>
        <w:rPr>
          <w:rFonts w:cs="Times New Roman"/>
          <w:color w:val="00000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面向专业：</w:t>
      </w:r>
      <w:r>
        <w:rPr>
          <w:rFonts w:hint="eastAsia" w:cs="宋体"/>
          <w:sz w:val="20"/>
          <w:szCs w:val="20"/>
        </w:rPr>
        <w:t>日语专业本科</w:t>
      </w:r>
    </w:p>
    <w:p>
      <w:pPr>
        <w:snapToGrid w:val="0"/>
        <w:spacing w:line="288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课程性质：</w:t>
      </w:r>
      <w:r>
        <w:rPr>
          <w:rFonts w:hint="eastAsia" w:cs="宋体"/>
          <w:sz w:val="20"/>
          <w:szCs w:val="20"/>
        </w:rPr>
        <w:t>系</w:t>
      </w:r>
      <w:r>
        <w:rPr>
          <w:rFonts w:hint="eastAsia" w:cs="宋体"/>
          <w:color w:val="000000"/>
          <w:sz w:val="20"/>
          <w:szCs w:val="20"/>
        </w:rPr>
        <w:t>定课程专业选修课</w:t>
      </w:r>
    </w:p>
    <w:p>
      <w:pPr>
        <w:adjustRightInd w:val="0"/>
        <w:snapToGrid w:val="0"/>
        <w:spacing w:line="300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课程类型</w:t>
      </w:r>
      <w:r>
        <w:rPr>
          <w:rFonts w:hint="eastAsia" w:cs="宋体"/>
          <w:sz w:val="20"/>
          <w:szCs w:val="20"/>
        </w:rPr>
        <w:t>：理论教学课</w:t>
      </w:r>
    </w:p>
    <w:p>
      <w:pPr>
        <w:snapToGrid w:val="0"/>
        <w:spacing w:line="288" w:lineRule="auto"/>
        <w:ind w:firstLine="394" w:firstLineChars="196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开课院系：</w:t>
      </w:r>
      <w:r>
        <w:rPr>
          <w:rFonts w:hint="eastAsia" w:cs="宋体"/>
          <w:sz w:val="20"/>
          <w:szCs w:val="20"/>
        </w:rPr>
        <w:t>外国语学院</w:t>
      </w:r>
    </w:p>
    <w:p>
      <w:pPr>
        <w:snapToGrid w:val="0"/>
        <w:spacing w:line="288" w:lineRule="auto"/>
        <w:ind w:left="1437" w:leftChars="187" w:hanging="1044" w:hangingChars="520"/>
        <w:rPr>
          <w:rFonts w:cs="Times New Roman"/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 w:cs="宋体"/>
          <w:sz w:val="20"/>
          <w:szCs w:val="20"/>
        </w:rPr>
        <w:t>主教材：《</w:t>
      </w:r>
      <w:r>
        <w:rPr>
          <w:rFonts w:hint="eastAsia" w:ascii="宋体" w:hAnsi="宋体" w:cs="宋体"/>
          <w:color w:val="000000"/>
          <w:sz w:val="20"/>
          <w:szCs w:val="20"/>
        </w:rPr>
        <w:t>新编国际商务日语写作</w:t>
      </w:r>
      <w:r>
        <w:rPr>
          <w:rFonts w:hint="eastAsia" w:ascii="宋体" w:hAnsi="宋体" w:cs="宋体"/>
          <w:kern w:val="0"/>
          <w:sz w:val="20"/>
          <w:szCs w:val="20"/>
        </w:rPr>
        <w:t>》，刘肖云、龚辰编著；南开大学出版社，</w:t>
      </w:r>
      <w:r>
        <w:rPr>
          <w:rFonts w:ascii="宋体" w:hAnsi="宋体" w:cs="宋体"/>
          <w:kern w:val="0"/>
          <w:sz w:val="20"/>
          <w:szCs w:val="20"/>
        </w:rPr>
        <w:t xml:space="preserve">2015.4  </w:t>
      </w:r>
      <w:r>
        <w:rPr>
          <w:rFonts w:hint="eastAsia" w:cs="宋体"/>
          <w:sz w:val="20"/>
          <w:szCs w:val="20"/>
        </w:rPr>
        <w:t>辅助教材：《日语外贸函电》，陈世华、任犹龙主编；天津大</w:t>
      </w:r>
      <w:r>
        <w:rPr>
          <w:rFonts w:hint="eastAsia" w:ascii="宋体" w:hAnsi="宋体" w:cs="宋体"/>
          <w:sz w:val="20"/>
          <w:szCs w:val="20"/>
        </w:rPr>
        <w:t>学出版社，</w:t>
      </w:r>
      <w:r>
        <w:rPr>
          <w:rFonts w:ascii="宋体" w:hAnsi="宋体" w:cs="宋体"/>
          <w:sz w:val="20"/>
          <w:szCs w:val="20"/>
        </w:rPr>
        <w:t>2010.1</w:t>
      </w:r>
    </w:p>
    <w:p>
      <w:pPr>
        <w:snapToGrid w:val="0"/>
        <w:spacing w:line="288" w:lineRule="auto"/>
        <w:ind w:firstLine="1440" w:firstLineChars="720"/>
        <w:rPr>
          <w:rFonts w:ascii="宋体"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参考教材：《</w:t>
      </w:r>
      <w:r>
        <w:rPr>
          <w:rFonts w:hint="eastAsia" w:ascii="宋体" w:hAnsi="宋体" w:cs="宋体"/>
          <w:sz w:val="20"/>
          <w:szCs w:val="20"/>
        </w:rPr>
        <w:t>外贸日语函电》，刘金举主编；北京语言大学出版社，</w:t>
      </w:r>
      <w:r>
        <w:rPr>
          <w:rFonts w:ascii="宋体" w:hAnsi="宋体" w:cs="宋体"/>
          <w:sz w:val="20"/>
          <w:szCs w:val="20"/>
        </w:rPr>
        <w:t>2007.3</w:t>
      </w:r>
    </w:p>
    <w:p>
      <w:pPr>
        <w:snapToGrid w:val="0"/>
        <w:spacing w:line="288" w:lineRule="auto"/>
        <w:ind w:left="1416" w:leftChars="196" w:hanging="1004" w:hangingChars="500"/>
        <w:rPr>
          <w:sz w:val="20"/>
          <w:szCs w:val="20"/>
        </w:rPr>
      </w:pPr>
      <w:r>
        <w:rPr>
          <w:rFonts w:hint="eastAsia" w:cs="宋体"/>
          <w:b/>
          <w:bCs/>
          <w:color w:val="000000"/>
          <w:sz w:val="20"/>
          <w:szCs w:val="20"/>
        </w:rPr>
        <w:t>先修课程：</w:t>
      </w:r>
      <w:r>
        <w:rPr>
          <w:rFonts w:hint="eastAsia" w:cs="宋体"/>
          <w:sz w:val="20"/>
          <w:szCs w:val="20"/>
        </w:rPr>
        <w:t>《基础日语》（</w:t>
      </w:r>
      <w:r>
        <w:rPr>
          <w:sz w:val="20"/>
          <w:szCs w:val="20"/>
        </w:rPr>
        <w:t>5</w:t>
      </w:r>
      <w:r>
        <w:rPr>
          <w:rFonts w:hint="eastAsia" w:cs="宋体"/>
          <w:sz w:val="20"/>
          <w:szCs w:val="20"/>
        </w:rPr>
        <w:t>）</w:t>
      </w:r>
      <w:r>
        <w:rPr>
          <w:sz w:val="20"/>
          <w:szCs w:val="20"/>
        </w:rPr>
        <w:t>2020056(8)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cs="Times New Roman"/>
          <w:b/>
          <w:bCs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二、课程简介</w:t>
      </w:r>
    </w:p>
    <w:p>
      <w:pPr>
        <w:widowControl/>
        <w:ind w:firstLine="300" w:firstLineChars="150"/>
        <w:jc w:val="left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《外贸日语函电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>
      <w:pPr>
        <w:widowControl/>
        <w:ind w:firstLine="300" w:firstLineChars="150"/>
        <w:jc w:val="left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三、选课建议</w:t>
      </w:r>
    </w:p>
    <w:p>
      <w:pPr>
        <w:ind w:firstLine="400" w:firstLineChars="200"/>
        <w:rPr>
          <w:rFonts w:cs="Times New Roman"/>
          <w:sz w:val="20"/>
          <w:szCs w:val="20"/>
        </w:rPr>
      </w:pPr>
      <w:r>
        <w:rPr>
          <w:rFonts w:hint="eastAsia" w:cs="宋体"/>
          <w:sz w:val="20"/>
          <w:szCs w:val="20"/>
        </w:rPr>
        <w:t>本课程适合日语专业本科第六学期学习。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四、课程与专业毕业要求的关联性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LO111</w:t>
            </w:r>
            <w:r>
              <w:rPr>
                <w:rFonts w:hint="eastAsia" w:cs="宋体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LO112</w:t>
            </w:r>
            <w:r>
              <w:rPr>
                <w:rFonts w:hint="eastAsia" w:cs="宋体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LO211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L0212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LO312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LO313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LO314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LO315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LO321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LO322</w:t>
            </w:r>
            <w:r>
              <w:rPr>
                <w:rFonts w:hint="eastAsia" w:cs="宋体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LO323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LO324</w:t>
            </w:r>
            <w:r>
              <w:rPr>
                <w:rFonts w:hint="eastAsia" w:cs="宋体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LO331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LO332</w:t>
            </w:r>
            <w:r>
              <w:rPr>
                <w:rFonts w:hint="eastAsia" w:cs="宋体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LO341</w:t>
            </w:r>
            <w:r>
              <w:rPr>
                <w:rFonts w:hint="eastAsia" w:cs="宋体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LO342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L0411</w:t>
            </w:r>
            <w:r>
              <w:rPr>
                <w:rFonts w:hint="eastAsia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LO413</w:t>
            </w:r>
            <w:r>
              <w:rPr>
                <w:rFonts w:hint="eastAsia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LO414</w:t>
            </w:r>
            <w:r>
              <w:rPr>
                <w:rFonts w:hint="eastAsia" w:cs="宋体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L0511</w:t>
            </w:r>
            <w:r>
              <w:rPr>
                <w:rFonts w:hint="eastAsia" w:cs="宋体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L0514</w:t>
            </w:r>
            <w:r>
              <w:rPr>
                <w:rFonts w:hint="eastAsia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LO611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LO612</w:t>
            </w:r>
            <w:r>
              <w:rPr>
                <w:rFonts w:hint="eastAsia" w:cs="宋体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LO613</w:t>
            </w:r>
            <w:r>
              <w:rPr>
                <w:rFonts w:hint="eastAsia" w:cs="宋体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LO711</w:t>
            </w:r>
            <w:r>
              <w:rPr>
                <w:rFonts w:hint="eastAsia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LO712</w:t>
            </w:r>
            <w:r>
              <w:rPr>
                <w:rFonts w:hint="eastAsia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LO713</w:t>
            </w:r>
            <w:r>
              <w:rPr>
                <w:rFonts w:hint="eastAsia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LO714</w:t>
            </w:r>
            <w:r>
              <w:rPr>
                <w:rFonts w:hint="eastAsia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LO811</w:t>
            </w:r>
            <w:r>
              <w:rPr>
                <w:rFonts w:hint="eastAsia" w:cs="宋体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LO812</w:t>
            </w:r>
            <w:r>
              <w:rPr>
                <w:rFonts w:hint="eastAsia" w:cs="宋体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LO813</w:t>
            </w:r>
            <w:r>
              <w:rPr>
                <w:rFonts w:hint="eastAsia" w:cs="宋体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cs="宋体"/>
        </w:rPr>
        <w:t>备注：</w:t>
      </w:r>
      <w:r>
        <w:t>LO=learning outcomes</w:t>
      </w:r>
      <w:r>
        <w:rPr>
          <w:rFonts w:hint="eastAsia" w:cs="宋体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 w:cs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五、课程目标</w:t>
      </w:r>
      <w:r>
        <w:rPr>
          <w:rFonts w:ascii="黑体" w:hAnsi="宋体" w:eastAsia="黑体" w:cs="黑体"/>
          <w:sz w:val="24"/>
          <w:szCs w:val="24"/>
        </w:rPr>
        <w:t>/</w:t>
      </w:r>
      <w:r>
        <w:rPr>
          <w:rFonts w:hint="eastAsia" w:ascii="黑体" w:hAnsi="宋体" w:eastAsia="黑体" w:cs="黑体"/>
          <w:sz w:val="24"/>
          <w:szCs w:val="24"/>
        </w:rPr>
        <w:t>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2551"/>
        <w:gridCol w:w="21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5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L0314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5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LO713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通过课上知识点的讲解和课后作业的实际操练，使学生具备书写商务文书的能力，能够服务于企业与社会。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课堂提问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课后作业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</w:tbl>
    <w:p>
      <w:pPr>
        <w:snapToGrid w:val="0"/>
        <w:spacing w:line="288" w:lineRule="auto"/>
        <w:rPr>
          <w:rFonts w:hint="eastAsia" w:ascii="黑体" w:hAnsi="宋体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宋体" w:cs="Times New Roman"/>
          <w:sz w:val="20"/>
          <w:szCs w:val="20"/>
        </w:rPr>
      </w:pPr>
      <w:r>
        <w:rPr>
          <w:rFonts w:hint="eastAsia" w:ascii="黑体" w:hAnsi="宋体" w:eastAsia="黑体" w:cs="黑体"/>
          <w:sz w:val="24"/>
          <w:szCs w:val="24"/>
        </w:rPr>
        <w:t>六、课程内容</w:t>
      </w:r>
    </w:p>
    <w:p>
      <w:pPr>
        <w:snapToGrid w:val="0"/>
        <w:spacing w:line="288" w:lineRule="auto"/>
        <w:ind w:firstLine="400" w:firstLineChars="200"/>
        <w:rPr>
          <w:rFonts w:ascii="宋体" w:cs="Times New Roman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本学期内容共分为四个部分：商务文件的写作基础（导入部分）、社内文件（第一课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第五课）、社外（第六课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第十课）、其他（第十一课</w:t>
      </w:r>
      <w:r>
        <w:rPr>
          <w:rFonts w:ascii="宋体" w:hAnsi="宋体" w:cs="宋体"/>
          <w:sz w:val="20"/>
          <w:szCs w:val="20"/>
        </w:rPr>
        <w:t>—</w:t>
      </w:r>
      <w:r>
        <w:rPr>
          <w:rFonts w:hint="eastAsia" w:ascii="宋体" w:hAnsi="宋体" w:cs="宋体"/>
          <w:sz w:val="20"/>
          <w:szCs w:val="20"/>
        </w:rPr>
        <w:t>第十四课）。每周一课，共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学时。每周的具体内容由</w:t>
      </w:r>
      <w:r>
        <w:rPr>
          <w:rFonts w:ascii="宋体" w:hAnsi="宋体" w:cs="宋体"/>
          <w:sz w:val="20"/>
          <w:szCs w:val="20"/>
        </w:rPr>
        <w:t>5-6</w:t>
      </w:r>
      <w:r>
        <w:rPr>
          <w:rFonts w:hint="eastAsia" w:ascii="宋体" w:hAnsi="宋体" w:cs="宋体"/>
          <w:sz w:val="20"/>
          <w:szCs w:val="20"/>
        </w:rPr>
        <w:t>篇例文及练习部分构成，每篇例文又由写法要点、相关语句和练习组成。</w:t>
      </w:r>
    </w:p>
    <w:p>
      <w:pPr>
        <w:snapToGrid w:val="0"/>
        <w:spacing w:line="288" w:lineRule="auto"/>
        <w:ind w:firstLine="400" w:firstLineChars="200"/>
        <w:rPr>
          <w:rFonts w:cs="Times New Roman"/>
          <w:sz w:val="20"/>
          <w:szCs w:val="20"/>
        </w:rPr>
      </w:pPr>
    </w:p>
    <w:tbl>
      <w:tblPr>
        <w:tblStyle w:val="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325"/>
        <w:gridCol w:w="384"/>
        <w:gridCol w:w="992"/>
        <w:gridCol w:w="2126"/>
        <w:gridCol w:w="4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cs="宋体"/>
              </w:rPr>
              <w:t>掌握日文稿纸的使用规则和“商务礼仪信函”的基本写法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了解日文稿纸的基本使用方法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0.1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了解商务礼仪信函的写作特点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0.2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·了解日文的基本文体（</w:t>
            </w:r>
            <w:r>
              <w:rPr>
                <w:rFonts w:ascii="宋体" w:hAnsi="宋体" w:cs="宋体"/>
              </w:rPr>
              <w:t>0.3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·了解日文稿纸的修改方法（</w:t>
            </w:r>
            <w:r>
              <w:rPr>
                <w:rFonts w:ascii="宋体" w:hAnsi="宋体" w:cs="宋体"/>
              </w:rPr>
              <w:t>0.4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·了解</w:t>
            </w:r>
            <w:r>
              <w:rPr>
                <w:rFonts w:hint="eastAsia" w:ascii="宋体" w:hAnsi="宋体" w:cs="宋体"/>
                <w:color w:val="000000"/>
              </w:rPr>
              <w:t>商务礼仪信函</w:t>
            </w:r>
            <w:r>
              <w:rPr>
                <w:rFonts w:hint="eastAsia" w:ascii="宋体" w:hAnsi="宋体" w:cs="宋体"/>
              </w:rPr>
              <w:t>的基本写法（</w:t>
            </w:r>
            <w:r>
              <w:rPr>
                <w:rFonts w:ascii="宋体" w:hAnsi="宋体" w:cs="宋体"/>
              </w:rPr>
              <w:t>1.1,1.2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·能够掌握</w:t>
            </w:r>
            <w:r>
              <w:rPr>
                <w:rFonts w:hint="eastAsia" w:ascii="宋体" w:hAnsi="宋体" w:cs="宋体"/>
                <w:color w:val="000000"/>
                <w:lang w:eastAsia="ja-JP"/>
              </w:rPr>
              <w:t>日文稿纸</w:t>
            </w:r>
            <w:r>
              <w:rPr>
                <w:rFonts w:hint="eastAsia" w:ascii="宋体" w:hAnsi="宋体" w:eastAsia="MS Mincho" w:cs="MS Mincho"/>
                <w:color w:val="000000"/>
                <w:lang w:eastAsia="ja-JP"/>
              </w:rPr>
              <w:t>「横書き」「縦書き」</w:t>
            </w:r>
            <w:r>
              <w:rPr>
                <w:rFonts w:hint="eastAsia" w:ascii="宋体" w:hAnsi="宋体" w:cs="宋体"/>
                <w:color w:val="000000"/>
                <w:lang w:eastAsia="ja-JP"/>
              </w:rPr>
              <w:t>的基本写法</w:t>
            </w:r>
            <w:r>
              <w:rPr>
                <w:rFonts w:hint="eastAsia" w:ascii="宋体" w:hAnsi="宋体" w:cs="宋体"/>
                <w:lang w:eastAsia="ja-JP"/>
              </w:rPr>
              <w:t>（</w:t>
            </w:r>
            <w:r>
              <w:rPr>
                <w:rFonts w:ascii="宋体" w:hAnsi="宋体" w:cs="宋体"/>
                <w:lang w:eastAsia="ja-JP"/>
              </w:rPr>
              <w:t>0.1</w:t>
            </w:r>
            <w:r>
              <w:rPr>
                <w:rFonts w:hint="eastAsia" w:ascii="宋体" w:hAnsi="宋体" w:cs="宋体"/>
                <w:lang w:eastAsia="ja-JP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能够掌握日文标点符号的正确写法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0.1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能够掌握汉字数字和阿拉伯数字的稿纸写法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0.1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能够总结商务礼仪信函的基本特征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0.2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能够总结日文中敬体和简体的基本特征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0.3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lang w:eastAsia="ja-JP"/>
              </w:rPr>
            </w:pPr>
            <w:r>
              <w:rPr>
                <w:rFonts w:hint="eastAsia" w:ascii="宋体" w:hAnsi="宋体" w:cs="宋体"/>
              </w:rPr>
              <w:t>·掌握</w:t>
            </w:r>
            <w:r>
              <w:rPr>
                <w:rFonts w:hint="eastAsia" w:ascii="宋体" w:hAnsi="宋体" w:cs="宋体"/>
                <w:color w:val="000000"/>
              </w:rPr>
              <w:t>商务礼仪信函</w:t>
            </w:r>
            <w:r>
              <w:rPr>
                <w:rFonts w:hint="eastAsia" w:ascii="宋体" w:hAnsi="宋体" w:cs="宋体"/>
              </w:rPr>
              <w:t>的撰写方法。</w:t>
            </w:r>
            <w:r>
              <w:rPr>
                <w:rFonts w:hint="eastAsia" w:ascii="宋体" w:hAnsi="宋体" w:cs="宋体"/>
                <w:color w:val="000000"/>
                <w:lang w:eastAsia="ja-JP"/>
              </w:rPr>
              <w:t>（</w:t>
            </w:r>
            <w:r>
              <w:rPr>
                <w:rFonts w:ascii="宋体" w:hAnsi="宋体" w:cs="宋体"/>
                <w:color w:val="000000"/>
                <w:lang w:eastAsia="ja-JP"/>
              </w:rPr>
              <w:t>1.1,1.2</w:t>
            </w:r>
            <w:r>
              <w:rPr>
                <w:rFonts w:hint="eastAsia" w:ascii="宋体" w:hAnsi="宋体" w:cs="宋体"/>
                <w:lang w:eastAsia="ja-JP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lang w:eastAsia="ja-JP"/>
              </w:rPr>
              <w:t>难点：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  <w:r>
              <w:rPr>
                <w:rFonts w:hint="eastAsia" w:ascii="宋体" w:hAnsi="宋体" w:cs="宋体"/>
                <w:lang w:eastAsia="ja-JP"/>
              </w:rPr>
              <w:t>·日文稿纸</w:t>
            </w:r>
            <w:r>
              <w:rPr>
                <w:rFonts w:hint="eastAsia" w:ascii="宋体" w:hAnsi="宋体" w:eastAsia="MS Mincho" w:cs="MS Mincho"/>
                <w:lang w:eastAsia="ja-JP"/>
              </w:rPr>
              <w:t>「縦書き」</w:t>
            </w:r>
            <w:r>
              <w:rPr>
                <w:rFonts w:hint="eastAsia" w:ascii="宋体" w:hAnsi="宋体" w:cs="宋体"/>
                <w:lang w:eastAsia="ja-JP"/>
              </w:rPr>
              <w:t>的书写格式和中文区别较大，需要着重记忆和练习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撰写商务礼仪信函时，注意日本礼仪用词。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掌握“介绍信函”的基本写法和批改方法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了解介绍信函的基本写法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理解产品介绍信函与人物介绍信函书写差异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掌握日文寒暄语表现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·掌握</w:t>
            </w:r>
            <w:r>
              <w:rPr>
                <w:rFonts w:hint="eastAsia" w:ascii="宋体" w:hAnsi="宋体" w:cs="宋体"/>
                <w:color w:val="000000"/>
              </w:rPr>
              <w:t>介绍信函的基本写法，</w:t>
            </w:r>
            <w:r>
              <w:rPr>
                <w:rFonts w:hint="eastAsia" w:ascii="宋体" w:hAnsi="宋体" w:cs="宋体"/>
              </w:rPr>
              <w:t>写出若干关键词，并写出大纲（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·掌握</w:t>
            </w:r>
            <w:r>
              <w:rPr>
                <w:rFonts w:hint="eastAsia" w:ascii="宋体" w:hAnsi="宋体" w:cs="宋体"/>
                <w:color w:val="000000"/>
              </w:rPr>
              <w:t>产品介绍信函与人物介绍信函写法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掌握日文寒暄语表现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2.2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·中日文寒暄语的差异，并能正确运用。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通过案例，掌握“商贸交涉四步骤”的基本知识</w:t>
            </w:r>
          </w:p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理解案例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了解调查问卷的基本制作方法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掌握“商贸交涉四步骤”的基本信函写法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3.1,3.2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理解案例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了解调查问卷的基本制作方法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3.2</w:t>
            </w:r>
            <w:r>
              <w:rPr>
                <w:rFonts w:hint="eastAsia" w:ascii="宋体" w:hAnsi="宋体" w:cs="宋体"/>
              </w:rPr>
              <w:t>）·掌握日文的基本接续表现（</w:t>
            </w:r>
            <w:r>
              <w:rPr>
                <w:rFonts w:ascii="宋体" w:hAnsi="宋体" w:cs="宋体"/>
              </w:rPr>
              <w:t>3.1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掌握“商贸交涉四步骤”的基本信函写法</w:t>
            </w:r>
          </w:p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3.1,3.2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·掌握报盘、询盘、还盘、实盘的概念。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·合理运用专业术语处理商贸交涉信函。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掌握日文报告的基本写法</w:t>
            </w:r>
          </w:p>
        </w:tc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·了解日文报告的基本撰写方法（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  <w:p>
            <w:pPr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·了解图表、数据的处理方法（</w:t>
            </w:r>
            <w:r>
              <w:rPr>
                <w:rFonts w:ascii="宋体" w:hAnsi="宋体" w:cs="宋体"/>
                <w:color w:val="000000"/>
              </w:rPr>
              <w:t>4.1,4.2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了解调查问卷的基本制作方法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了解饼状图的基本制作方法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了解参考文献的查阅和引用方法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rPr>
                <w:rFonts w:ascii="宋体" w:cs="Times New Roman"/>
              </w:rPr>
            </w:pPr>
          </w:p>
        </w:tc>
        <w:tc>
          <w:tcPr>
            <w:tcW w:w="4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重点：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能够分析图表数据，用日文进行表述（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·熟记日文报告的基本格式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  <w:p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</w:t>
            </w:r>
            <w:r>
              <w:rPr>
                <w:rFonts w:hint="eastAsia" w:ascii="宋体" w:hAnsi="宋体" w:cs="宋体"/>
                <w:color w:val="000000"/>
              </w:rPr>
              <w:t>掌握日文被动表现的使用技巧（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  <w:p>
            <w:pPr>
              <w:pStyle w:val="2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·能够制作日文的</w:t>
            </w:r>
            <w:r>
              <w:rPr>
                <w:rFonts w:hint="eastAsia" w:ascii="宋体" w:hAnsi="宋体" w:cs="宋体"/>
                <w:color w:val="000000"/>
              </w:rPr>
              <w:t>调查问卷，掌握数据回收处理的基本方法</w:t>
            </w: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>4.2</w:t>
            </w:r>
            <w:r>
              <w:rPr>
                <w:rFonts w:hint="eastAsia" w:ascii="宋体" w:hAnsi="宋体" w:cs="宋体"/>
              </w:rPr>
              <w:t>）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难点：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调查问卷设计的合理性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使用饼状图等图表直观地展现调查结果</w:t>
            </w:r>
          </w:p>
          <w:p>
            <w:pPr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>
      <w:pPr>
        <w:snapToGrid w:val="0"/>
        <w:spacing w:line="288" w:lineRule="auto"/>
        <w:ind w:right="26"/>
        <w:rPr>
          <w:rFonts w:cs="Times New Roman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七、课内实验名称及基本要求</w:t>
      </w:r>
    </w:p>
    <w:tbl>
      <w:tblPr>
        <w:tblStyle w:val="5"/>
        <w:tblW w:w="9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417"/>
        <w:gridCol w:w="2977"/>
        <w:gridCol w:w="992"/>
        <w:gridCol w:w="127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60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实验名称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实验类型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节日等问候信函的</w:t>
            </w:r>
            <w:r>
              <w:rPr>
                <w:rFonts w:hint="eastAsia" w:asci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进行商务场景中礼仪问候的写作练习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产品介绍等广告宣传文件</w:t>
            </w:r>
            <w:r>
              <w:rPr>
                <w:rFonts w:hint="eastAsia" w:ascii="宋体" w:cs="宋体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产品介绍等广告宣传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履历书和自荐信的写作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个人简历和自荐信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5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提案企划文件写作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进行</w:t>
            </w:r>
            <w:r>
              <w:rPr>
                <w:rFonts w:hint="eastAsia" w:ascii="宋体" w:hAnsi="宋体" w:cs="宋体"/>
                <w:sz w:val="20"/>
                <w:szCs w:val="20"/>
              </w:rPr>
              <w:t>商品、活动等提案企划文书</w:t>
            </w:r>
            <w:r>
              <w:rPr>
                <w:rFonts w:hint="eastAsia" w:ascii="宋体" w:cs="宋体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 w:cs="黑体"/>
          <w:sz w:val="24"/>
          <w:szCs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 w:cs="Times New Roman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八、评价方式与成绩</w:t>
      </w:r>
      <w:bookmarkStart w:id="1" w:name="_GoBack"/>
      <w:bookmarkEnd w:id="1"/>
    </w:p>
    <w:p>
      <w:pPr>
        <w:snapToGrid w:val="0"/>
        <w:spacing w:line="288" w:lineRule="auto"/>
        <w:ind w:right="2520"/>
        <w:rPr>
          <w:rFonts w:hint="eastAsia" w:ascii="黑体" w:hAnsi="宋体" w:eastAsia="黑体" w:cs="黑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2109" w:tblpY="1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期终闭卷考试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随堂测试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随堂测试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随堂测试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 w:cs="黑体"/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 w:cs="Times New Roman"/>
          <w:sz w:val="24"/>
          <w:szCs w:val="24"/>
        </w:rPr>
      </w:pPr>
    </w:p>
    <w:p>
      <w:pPr>
        <w:snapToGrid w:val="0"/>
        <w:spacing w:line="288" w:lineRule="auto"/>
        <w:rPr>
          <w:rFonts w:hint="default" w:eastAsia="宋体" w:cs="Times New Roman"/>
          <w:sz w:val="21"/>
          <w:szCs w:val="21"/>
          <w:lang w:val="en-US" w:eastAsia="zh-CN"/>
        </w:rPr>
      </w:pPr>
      <w:r>
        <w:rPr>
          <w:rFonts w:hint="eastAsia" w:cs="宋体"/>
          <w:sz w:val="21"/>
          <w:szCs w:val="21"/>
        </w:rPr>
        <w:t>撰写人：</w:t>
      </w:r>
      <w:r>
        <w:rPr>
          <w:sz w:val="21"/>
          <w:szCs w:val="21"/>
        </w:rPr>
        <w:drawing>
          <wp:inline distT="0" distB="0" distL="114300" distR="114300">
            <wp:extent cx="986790" cy="421640"/>
            <wp:effectExtent l="0" t="0" r="3810" b="5080"/>
            <wp:docPr id="2" name="图片 2" descr="魏嘉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魏嘉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</w:t>
      </w:r>
      <w:r>
        <w:rPr>
          <w:rFonts w:hint="eastAsia" w:cs="宋体"/>
          <w:sz w:val="21"/>
          <w:szCs w:val="21"/>
        </w:rPr>
        <w:t>系主任审核签名：</w:t>
      </w:r>
      <w:r>
        <w:rPr>
          <w:rFonts w:hint="eastAsia" w:cs="宋体"/>
          <w:sz w:val="21"/>
          <w:szCs w:val="21"/>
        </w:rPr>
        <w:drawing>
          <wp:inline distT="0" distB="0" distL="114300" distR="114300">
            <wp:extent cx="1073785" cy="389255"/>
            <wp:effectExtent l="0" t="0" r="8255" b="698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/>
          <w:sz w:val="21"/>
          <w:szCs w:val="21"/>
          <w:lang w:val="en-US" w:eastAsia="zh-CN"/>
        </w:rPr>
        <w:t xml:space="preserve">   </w:t>
      </w:r>
      <w:r>
        <w:rPr>
          <w:rFonts w:hint="eastAsia" w:cs="宋体"/>
          <w:sz w:val="21"/>
          <w:szCs w:val="21"/>
        </w:rPr>
        <w:t>审核时间：</w:t>
      </w:r>
      <w:r>
        <w:rPr>
          <w:rFonts w:hint="eastAsia" w:cs="宋体"/>
          <w:sz w:val="21"/>
          <w:szCs w:val="21"/>
          <w:lang w:val="en-US" w:eastAsia="zh-CN"/>
        </w:rPr>
        <w:t>2021.9.7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53014"/>
    <w:rsid w:val="000815B1"/>
    <w:rsid w:val="001072BC"/>
    <w:rsid w:val="00132329"/>
    <w:rsid w:val="00136E25"/>
    <w:rsid w:val="00140A12"/>
    <w:rsid w:val="001563AE"/>
    <w:rsid w:val="001E3C39"/>
    <w:rsid w:val="001F1208"/>
    <w:rsid w:val="00203ADE"/>
    <w:rsid w:val="00256B39"/>
    <w:rsid w:val="0026033C"/>
    <w:rsid w:val="002A6D2C"/>
    <w:rsid w:val="002C7BDA"/>
    <w:rsid w:val="002E3721"/>
    <w:rsid w:val="00313BBA"/>
    <w:rsid w:val="00317E29"/>
    <w:rsid w:val="0032229A"/>
    <w:rsid w:val="00324E6C"/>
    <w:rsid w:val="0032602E"/>
    <w:rsid w:val="003367AE"/>
    <w:rsid w:val="0037404A"/>
    <w:rsid w:val="00393D90"/>
    <w:rsid w:val="003B1258"/>
    <w:rsid w:val="003C675C"/>
    <w:rsid w:val="004100B0"/>
    <w:rsid w:val="00431183"/>
    <w:rsid w:val="00441404"/>
    <w:rsid w:val="00477033"/>
    <w:rsid w:val="004837A6"/>
    <w:rsid w:val="004A77C5"/>
    <w:rsid w:val="005467DC"/>
    <w:rsid w:val="005507E6"/>
    <w:rsid w:val="0055337B"/>
    <w:rsid w:val="00553D03"/>
    <w:rsid w:val="0056283F"/>
    <w:rsid w:val="005B2B6D"/>
    <w:rsid w:val="005B4B4E"/>
    <w:rsid w:val="00624FE1"/>
    <w:rsid w:val="0063199B"/>
    <w:rsid w:val="00652C0C"/>
    <w:rsid w:val="00671B4C"/>
    <w:rsid w:val="0069170E"/>
    <w:rsid w:val="006A4A20"/>
    <w:rsid w:val="006B5CE4"/>
    <w:rsid w:val="006D0042"/>
    <w:rsid w:val="006D143E"/>
    <w:rsid w:val="007156A8"/>
    <w:rsid w:val="0072062C"/>
    <w:rsid w:val="007208D6"/>
    <w:rsid w:val="00735C4B"/>
    <w:rsid w:val="007435B1"/>
    <w:rsid w:val="007D35E9"/>
    <w:rsid w:val="008160F3"/>
    <w:rsid w:val="008B397C"/>
    <w:rsid w:val="008B47F4"/>
    <w:rsid w:val="008E15D3"/>
    <w:rsid w:val="00900019"/>
    <w:rsid w:val="009257ED"/>
    <w:rsid w:val="0098318E"/>
    <w:rsid w:val="00985EDD"/>
    <w:rsid w:val="0099063E"/>
    <w:rsid w:val="00A51D19"/>
    <w:rsid w:val="00A769B1"/>
    <w:rsid w:val="00A837D5"/>
    <w:rsid w:val="00AC4C45"/>
    <w:rsid w:val="00AD45E7"/>
    <w:rsid w:val="00AF2A47"/>
    <w:rsid w:val="00B21590"/>
    <w:rsid w:val="00B44A93"/>
    <w:rsid w:val="00B46F21"/>
    <w:rsid w:val="00B511A5"/>
    <w:rsid w:val="00B736A7"/>
    <w:rsid w:val="00B7651F"/>
    <w:rsid w:val="00B95B5D"/>
    <w:rsid w:val="00BA64F0"/>
    <w:rsid w:val="00C12F33"/>
    <w:rsid w:val="00C56E09"/>
    <w:rsid w:val="00C60117"/>
    <w:rsid w:val="00CF096B"/>
    <w:rsid w:val="00CF5CB2"/>
    <w:rsid w:val="00D16441"/>
    <w:rsid w:val="00D2741E"/>
    <w:rsid w:val="00D66141"/>
    <w:rsid w:val="00D84F9E"/>
    <w:rsid w:val="00DF1F61"/>
    <w:rsid w:val="00E16D30"/>
    <w:rsid w:val="00E33169"/>
    <w:rsid w:val="00E66524"/>
    <w:rsid w:val="00E70904"/>
    <w:rsid w:val="00E718C7"/>
    <w:rsid w:val="00EF44B1"/>
    <w:rsid w:val="00F26D56"/>
    <w:rsid w:val="00F3232E"/>
    <w:rsid w:val="00F35AA0"/>
    <w:rsid w:val="00F67CC2"/>
    <w:rsid w:val="00FC5E7F"/>
    <w:rsid w:val="00FF462E"/>
    <w:rsid w:val="016E63C2"/>
    <w:rsid w:val="024B0C39"/>
    <w:rsid w:val="0A8128A6"/>
    <w:rsid w:val="0BF32A1B"/>
    <w:rsid w:val="10BD2C22"/>
    <w:rsid w:val="22987C80"/>
    <w:rsid w:val="24192CCC"/>
    <w:rsid w:val="250C78B6"/>
    <w:rsid w:val="2A244EE9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semiHidden/>
    <w:locked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semiHidden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文字 字符"/>
    <w:basedOn w:val="7"/>
    <w:link w:val="2"/>
    <w:locked/>
    <w:uiPriority w:val="99"/>
    <w:rPr>
      <w:rFonts w:ascii="Calibri" w:hAnsi="Calibri" w:eastAsia="宋体" w:cs="Calibri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6</Pages>
  <Words>620</Words>
  <Characters>3537</Characters>
  <Lines>29</Lines>
  <Paragraphs>8</Paragraphs>
  <TotalTime>1</TotalTime>
  <ScaleCrop>false</ScaleCrop>
  <LinksUpToDate>false</LinksUpToDate>
  <CharactersWithSpaces>4149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2021-09-07T05:44:00Z</dcterms:created>
  <dc:creator>juvg</dc:creator>
  <cp:lastModifiedBy>刘尔瑟</cp:lastModifiedBy>
  <dcterms:modified xsi:type="dcterms:W3CDTF">2021-10-11T09:24:12Z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