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5" w:rsidRDefault="00856CD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803283">
        <w:rPr>
          <w:rFonts w:hint="eastAsia"/>
          <w:b/>
          <w:sz w:val="28"/>
          <w:szCs w:val="30"/>
        </w:rPr>
        <w:t>国际商务日语</w:t>
      </w:r>
      <w:r>
        <w:rPr>
          <w:rFonts w:hint="eastAsia"/>
          <w:b/>
          <w:sz w:val="28"/>
          <w:szCs w:val="30"/>
        </w:rPr>
        <w:t>】</w:t>
      </w:r>
    </w:p>
    <w:p w:rsidR="00875515" w:rsidRDefault="00B0356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9934A9">
        <w:rPr>
          <w:rFonts w:hint="eastAsia"/>
          <w:b/>
          <w:sz w:val="28"/>
          <w:szCs w:val="30"/>
        </w:rPr>
        <w:t>Economic and trade of Japanese</w:t>
      </w:r>
      <w:r w:rsidR="00856CDF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75515" w:rsidRDefault="00856CDF" w:rsidP="0080328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803283">
        <w:rPr>
          <w:rFonts w:ascii="Times New Roman" w:hAnsi="Times New Roman"/>
          <w:color w:val="000000"/>
          <w:sz w:val="20"/>
          <w:szCs w:val="20"/>
        </w:rPr>
        <w:t>2020487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9D27CD">
        <w:rPr>
          <w:rFonts w:hint="eastAsia"/>
          <w:color w:val="000000"/>
          <w:sz w:val="20"/>
          <w:szCs w:val="20"/>
        </w:rPr>
        <w:t>2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82669E">
        <w:rPr>
          <w:color w:val="000000"/>
          <w:sz w:val="20"/>
          <w:szCs w:val="20"/>
        </w:rPr>
        <w:t>日语专业本科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9D27CD">
        <w:rPr>
          <w:rFonts w:hint="eastAsia"/>
          <w:color w:val="000000"/>
          <w:sz w:val="20"/>
          <w:szCs w:val="20"/>
        </w:rPr>
        <w:t>院级选</w:t>
      </w:r>
      <w:r w:rsidR="0082669E">
        <w:rPr>
          <w:rFonts w:hint="eastAsia"/>
          <w:color w:val="000000"/>
          <w:sz w:val="20"/>
          <w:szCs w:val="20"/>
        </w:rPr>
        <w:t>修课</w:t>
      </w:r>
    </w:p>
    <w:p w:rsidR="00875515" w:rsidRDefault="00856CDF" w:rsidP="006369C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82669E" w:rsidRPr="0082669E">
        <w:rPr>
          <w:bCs/>
          <w:color w:val="000000"/>
          <w:sz w:val="20"/>
          <w:szCs w:val="20"/>
        </w:rPr>
        <w:t>外国语学院日语系</w:t>
      </w:r>
    </w:p>
    <w:p w:rsidR="00875515" w:rsidRDefault="00856CD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75515" w:rsidRPr="001230EE" w:rsidRDefault="00482214" w:rsidP="00803283">
      <w:pPr>
        <w:snapToGrid w:val="0"/>
        <w:spacing w:line="288" w:lineRule="auto"/>
        <w:ind w:leftChars="188" w:left="2345" w:hangingChars="975" w:hanging="195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主</w:t>
      </w:r>
      <w:r w:rsidR="001230EE" w:rsidRPr="001230EE">
        <w:rPr>
          <w:bCs/>
          <w:color w:val="000000"/>
          <w:sz w:val="20"/>
          <w:szCs w:val="20"/>
        </w:rPr>
        <w:t>教材</w:t>
      </w:r>
      <w:r>
        <w:rPr>
          <w:rFonts w:hint="eastAsia"/>
          <w:bCs/>
          <w:color w:val="000000"/>
          <w:sz w:val="20"/>
          <w:szCs w:val="20"/>
        </w:rPr>
        <w:t>：</w:t>
      </w:r>
      <w:r w:rsidR="00803283" w:rsidRPr="00727F14">
        <w:rPr>
          <w:rFonts w:hint="eastAsia"/>
          <w:color w:val="000000"/>
          <w:sz w:val="20"/>
          <w:szCs w:val="20"/>
        </w:rPr>
        <w:t>《新版国际商务日语实务》</w:t>
      </w:r>
      <w:r w:rsidR="00803283">
        <w:rPr>
          <w:rFonts w:hint="eastAsia"/>
          <w:color w:val="000000"/>
          <w:sz w:val="20"/>
          <w:szCs w:val="20"/>
        </w:rPr>
        <w:t>（第二版）</w:t>
      </w:r>
      <w:r w:rsidR="00803283" w:rsidRPr="00727F14">
        <w:rPr>
          <w:rFonts w:hint="eastAsia"/>
          <w:color w:val="000000"/>
          <w:sz w:val="20"/>
          <w:szCs w:val="20"/>
        </w:rPr>
        <w:t>张正立主编</w:t>
      </w:r>
      <w:r w:rsidR="00803283">
        <w:rPr>
          <w:rFonts w:hint="eastAsia"/>
          <w:color w:val="000000"/>
          <w:sz w:val="20"/>
          <w:szCs w:val="20"/>
        </w:rPr>
        <w:t>，</w:t>
      </w:r>
      <w:r w:rsidR="00803283" w:rsidRPr="00727F14">
        <w:rPr>
          <w:rFonts w:hint="eastAsia"/>
          <w:color w:val="000000"/>
          <w:sz w:val="20"/>
          <w:szCs w:val="20"/>
        </w:rPr>
        <w:t>南开大学出版社出版</w:t>
      </w:r>
      <w:r w:rsidR="00FA1ACC" w:rsidRPr="001230EE">
        <w:rPr>
          <w:rFonts w:hint="eastAsia"/>
          <w:bCs/>
          <w:color w:val="000000"/>
          <w:sz w:val="20"/>
          <w:szCs w:val="20"/>
        </w:rPr>
        <w:t xml:space="preserve">                     </w:t>
      </w:r>
      <w:r w:rsidR="008B2BC9" w:rsidRPr="001230EE">
        <w:rPr>
          <w:rFonts w:hint="eastAsia"/>
          <w:bCs/>
          <w:color w:val="000000"/>
          <w:sz w:val="20"/>
          <w:szCs w:val="20"/>
        </w:rPr>
        <w:t xml:space="preserve">                                        </w:t>
      </w:r>
      <w:r w:rsidR="001230EE">
        <w:rPr>
          <w:rFonts w:hint="eastAsia"/>
          <w:bCs/>
          <w:color w:val="000000"/>
          <w:sz w:val="20"/>
          <w:szCs w:val="20"/>
        </w:rPr>
        <w:t xml:space="preserve">      </w:t>
      </w:r>
    </w:p>
    <w:p w:rsidR="00D01752" w:rsidRDefault="001230EE" w:rsidP="001230EE">
      <w:pPr>
        <w:snapToGrid w:val="0"/>
        <w:spacing w:line="288" w:lineRule="auto"/>
        <w:rPr>
          <w:color w:val="000000"/>
          <w:sz w:val="20"/>
          <w:szCs w:val="20"/>
        </w:rPr>
      </w:pPr>
      <w:r w:rsidRPr="00482214">
        <w:rPr>
          <w:rFonts w:hint="eastAsia"/>
          <w:color w:val="000000"/>
          <w:sz w:val="20"/>
          <w:szCs w:val="20"/>
        </w:rPr>
        <w:t xml:space="preserve">   </w:t>
      </w:r>
      <w:r w:rsidR="00803283">
        <w:rPr>
          <w:rFonts w:hint="eastAsia"/>
          <w:color w:val="000000"/>
          <w:sz w:val="20"/>
          <w:szCs w:val="20"/>
        </w:rPr>
        <w:t xml:space="preserve"> </w:t>
      </w:r>
      <w:r w:rsidR="00482214">
        <w:rPr>
          <w:rFonts w:hint="eastAsia"/>
          <w:color w:val="000000"/>
          <w:sz w:val="20"/>
          <w:szCs w:val="20"/>
        </w:rPr>
        <w:t>辅助教材：</w:t>
      </w:r>
      <w:r w:rsidR="00D24A55">
        <w:rPr>
          <w:color w:val="000000"/>
          <w:sz w:val="20"/>
          <w:szCs w:val="20"/>
        </w:rPr>
        <w:t>《</w:t>
      </w:r>
      <w:r w:rsidR="00A6604E">
        <w:rPr>
          <w:rFonts w:hint="eastAsia"/>
          <w:color w:val="000000"/>
          <w:sz w:val="20"/>
          <w:szCs w:val="20"/>
        </w:rPr>
        <w:t>经贸日语</w:t>
      </w:r>
      <w:r w:rsidR="00D24A55">
        <w:rPr>
          <w:color w:val="000000"/>
          <w:sz w:val="20"/>
          <w:szCs w:val="20"/>
        </w:rPr>
        <w:t>》</w:t>
      </w:r>
      <w:r w:rsidR="00D24A55">
        <w:rPr>
          <w:rFonts w:hint="eastAsia"/>
          <w:color w:val="000000"/>
          <w:sz w:val="20"/>
          <w:szCs w:val="20"/>
        </w:rPr>
        <w:t>，</w:t>
      </w:r>
      <w:r w:rsidR="006F329E">
        <w:rPr>
          <w:rFonts w:hint="eastAsia"/>
          <w:color w:val="000000"/>
          <w:sz w:val="20"/>
          <w:szCs w:val="20"/>
        </w:rPr>
        <w:t>余六一</w:t>
      </w:r>
      <w:r w:rsidR="00D24A55">
        <w:rPr>
          <w:color w:val="000000"/>
          <w:sz w:val="20"/>
          <w:szCs w:val="20"/>
        </w:rPr>
        <w:t>主编</w:t>
      </w:r>
      <w:r w:rsidR="00D24A55">
        <w:rPr>
          <w:rFonts w:hint="eastAsia"/>
          <w:color w:val="000000"/>
          <w:sz w:val="20"/>
          <w:szCs w:val="20"/>
        </w:rPr>
        <w:t>，</w:t>
      </w:r>
      <w:r w:rsidR="006F329E">
        <w:rPr>
          <w:rFonts w:hint="eastAsia"/>
          <w:color w:val="000000"/>
          <w:sz w:val="20"/>
          <w:szCs w:val="20"/>
        </w:rPr>
        <w:t>武汉大学</w:t>
      </w:r>
      <w:r w:rsidR="00D24A55">
        <w:rPr>
          <w:color w:val="000000"/>
          <w:sz w:val="20"/>
          <w:szCs w:val="20"/>
        </w:rPr>
        <w:t>出版社</w:t>
      </w:r>
    </w:p>
    <w:p w:rsidR="00D01752" w:rsidRDefault="00803283" w:rsidP="006F4989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</w:t>
      </w:r>
      <w:r w:rsidR="00482214">
        <w:rPr>
          <w:rFonts w:hint="eastAsia"/>
          <w:color w:val="000000"/>
          <w:sz w:val="20"/>
          <w:szCs w:val="20"/>
        </w:rPr>
        <w:t>参考教材：</w:t>
      </w:r>
      <w:r w:rsidR="00D01752">
        <w:rPr>
          <w:color w:val="000000"/>
          <w:sz w:val="20"/>
          <w:szCs w:val="20"/>
        </w:rPr>
        <w:t>《</w:t>
      </w:r>
      <w:r w:rsidR="006F329E">
        <w:rPr>
          <w:rFonts w:hint="eastAsia"/>
          <w:color w:val="000000"/>
          <w:sz w:val="20"/>
          <w:szCs w:val="20"/>
        </w:rPr>
        <w:t>高级实用经贸日语</w:t>
      </w:r>
      <w:r w:rsidR="00D01752">
        <w:rPr>
          <w:color w:val="000000"/>
          <w:sz w:val="20"/>
          <w:szCs w:val="20"/>
        </w:rPr>
        <w:t>》</w:t>
      </w:r>
      <w:r w:rsidR="006F329E">
        <w:rPr>
          <w:rFonts w:hint="eastAsia"/>
          <w:color w:val="000000"/>
          <w:sz w:val="20"/>
          <w:szCs w:val="20"/>
        </w:rPr>
        <w:t>，胡卫杰著</w:t>
      </w:r>
      <w:r w:rsidR="006F4989">
        <w:rPr>
          <w:rFonts w:hint="eastAsia"/>
          <w:color w:val="000000"/>
          <w:sz w:val="20"/>
          <w:szCs w:val="20"/>
        </w:rPr>
        <w:t>，外语教学与研究出版社</w:t>
      </w:r>
    </w:p>
    <w:p w:rsidR="00875515" w:rsidRDefault="006F4989" w:rsidP="00A6604E">
      <w:pPr>
        <w:snapToGrid w:val="0"/>
        <w:spacing w:line="288" w:lineRule="auto"/>
        <w:rPr>
          <w:rFonts w:ascii="MS Mincho" w:eastAsiaTheme="minorEastAsia" w:hAnsi="MS Mincho"/>
          <w:color w:val="000000"/>
          <w:sz w:val="20"/>
          <w:szCs w:val="20"/>
          <w:lang w:eastAsia="ja-JP"/>
        </w:rPr>
      </w:pPr>
      <w:r>
        <w:rPr>
          <w:rFonts w:hint="eastAsia"/>
          <w:color w:val="000000"/>
          <w:sz w:val="20"/>
          <w:szCs w:val="20"/>
          <w:lang w:eastAsia="ja-JP"/>
        </w:rPr>
        <w:t xml:space="preserve">      </w:t>
      </w:r>
      <w:r w:rsidR="00A6604E">
        <w:rPr>
          <w:rFonts w:hint="eastAsia"/>
          <w:color w:val="000000"/>
          <w:sz w:val="20"/>
          <w:szCs w:val="20"/>
          <w:lang w:eastAsia="ja-JP"/>
        </w:rPr>
        <w:t xml:space="preserve">       </w:t>
      </w:r>
      <w:r w:rsidR="00D01752">
        <w:rPr>
          <w:color w:val="000000"/>
          <w:sz w:val="20"/>
          <w:szCs w:val="20"/>
          <w:lang w:eastAsia="ja-JP"/>
        </w:rPr>
        <w:t>《</w:t>
      </w:r>
      <w:r>
        <w:rPr>
          <w:rFonts w:eastAsia="MS Mincho" w:hint="eastAsia"/>
          <w:color w:val="000000"/>
          <w:sz w:val="20"/>
          <w:szCs w:val="20"/>
          <w:lang w:eastAsia="ja-JP"/>
        </w:rPr>
        <w:t>テーマ別</w:t>
      </w:r>
      <w:r w:rsidR="004330B3">
        <w:rPr>
          <w:rFonts w:eastAsia="MS Mincho" w:hint="eastAsia"/>
          <w:color w:val="000000"/>
          <w:sz w:val="20"/>
          <w:szCs w:val="20"/>
          <w:lang w:eastAsia="ja-JP"/>
        </w:rPr>
        <w:t xml:space="preserve">　上級で学ぶ日本語</w:t>
      </w:r>
      <w:r w:rsidR="00D01752">
        <w:rPr>
          <w:color w:val="000000"/>
          <w:sz w:val="20"/>
          <w:szCs w:val="20"/>
          <w:lang w:eastAsia="ja-JP"/>
        </w:rPr>
        <w:t>》</w:t>
      </w:r>
      <w:r w:rsidR="00D01752">
        <w:rPr>
          <w:rFonts w:hint="eastAsia"/>
          <w:color w:val="000000"/>
          <w:sz w:val="20"/>
          <w:szCs w:val="20"/>
          <w:lang w:eastAsia="ja-JP"/>
        </w:rPr>
        <w:t>，</w:t>
      </w:r>
      <w:r w:rsidR="004330B3"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阿部祐子⁄亀田美保⁄桑原典子</w:t>
      </w:r>
      <w:r w:rsidR="00EF1E6C">
        <w:rPr>
          <w:rFonts w:asciiTheme="minorEastAsia" w:eastAsiaTheme="minorEastAsia" w:hAnsiTheme="minorEastAsia" w:hint="eastAsia"/>
          <w:color w:val="000000"/>
          <w:sz w:val="20"/>
          <w:szCs w:val="20"/>
          <w:lang w:eastAsia="ja-JP"/>
        </w:rPr>
        <w:t>，</w:t>
      </w:r>
    </w:p>
    <w:p w:rsidR="00EF1E6C" w:rsidRPr="00B11C76" w:rsidRDefault="00EF1E6C" w:rsidP="00A6604E">
      <w:pPr>
        <w:snapToGrid w:val="0"/>
        <w:spacing w:line="288" w:lineRule="auto"/>
        <w:rPr>
          <w:rFonts w:ascii="MS Mincho" w:eastAsia="MS Mincho" w:hAnsi="MS Mincho"/>
          <w:color w:val="000000"/>
          <w:sz w:val="20"/>
          <w:szCs w:val="20"/>
        </w:rPr>
      </w:pPr>
      <w:r>
        <w:rPr>
          <w:rFonts w:ascii="MS Mincho" w:eastAsiaTheme="minorEastAsia" w:hAnsi="MS Mincho" w:hint="eastAsia"/>
          <w:color w:val="000000"/>
          <w:sz w:val="20"/>
          <w:szCs w:val="20"/>
          <w:lang w:eastAsia="ja-JP"/>
        </w:rPr>
        <w:t xml:space="preserve">             </w:t>
      </w:r>
      <w:r w:rsidR="00B11C76">
        <w:rPr>
          <w:rFonts w:ascii="MS Mincho" w:eastAsia="MS Mincho" w:hAnsi="MS Mincho" w:hint="eastAsia"/>
          <w:color w:val="000000"/>
          <w:sz w:val="20"/>
          <w:szCs w:val="20"/>
        </w:rPr>
        <w:t>ＫＥＮＫＹＵＳＨＡ</w:t>
      </w:r>
    </w:p>
    <w:p w:rsidR="00C005E0" w:rsidRPr="00EF1E6C" w:rsidRDefault="00C005E0" w:rsidP="00A6604E">
      <w:pPr>
        <w:snapToGrid w:val="0"/>
        <w:spacing w:line="288" w:lineRule="auto"/>
        <w:rPr>
          <w:rFonts w:eastAsiaTheme="minorEastAsia"/>
          <w:color w:val="000000"/>
          <w:sz w:val="20"/>
          <w:szCs w:val="20"/>
          <w:highlight w:val="yellow"/>
        </w:rPr>
      </w:pPr>
      <w:r>
        <w:rPr>
          <w:rFonts w:ascii="MS Mincho" w:eastAsiaTheme="minorEastAsia" w:hAnsi="MS Mincho" w:hint="eastAsia"/>
          <w:color w:val="000000"/>
          <w:sz w:val="20"/>
          <w:szCs w:val="20"/>
        </w:rPr>
        <w:t xml:space="preserve">    </w:t>
      </w:r>
      <w:r w:rsidR="00AD38F2">
        <w:rPr>
          <w:rFonts w:ascii="MS Mincho" w:eastAsiaTheme="minorEastAsia" w:hAnsi="MS Mincho" w:hint="eastAsia"/>
          <w:color w:val="000000"/>
          <w:sz w:val="20"/>
          <w:szCs w:val="20"/>
        </w:rPr>
        <w:t>先修课程：商贸礼仪与交流</w:t>
      </w:r>
      <w:r w:rsidR="00482214" w:rsidRPr="00482214">
        <w:rPr>
          <w:rFonts w:ascii="Times New Roman" w:eastAsiaTheme="minorEastAsia" w:hAnsi="Times New Roman"/>
          <w:color w:val="000000"/>
          <w:sz w:val="20"/>
          <w:szCs w:val="20"/>
        </w:rPr>
        <w:t>2020295</w:t>
      </w:r>
      <w:r w:rsidR="00482214" w:rsidRPr="00482214">
        <w:rPr>
          <w:rFonts w:ascii="Times New Roman" w:eastAsiaTheme="minorEastAsia" w:hAnsiTheme="minorEastAsia"/>
          <w:color w:val="000000"/>
          <w:sz w:val="20"/>
          <w:szCs w:val="20"/>
        </w:rPr>
        <w:t>（</w:t>
      </w:r>
      <w:r w:rsidR="00482214" w:rsidRPr="00482214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="00482214" w:rsidRPr="00482214">
        <w:rPr>
          <w:rFonts w:ascii="Times New Roman" w:eastAsiaTheme="minorEastAsia" w:hAnsiTheme="minorEastAsia"/>
          <w:color w:val="000000"/>
          <w:sz w:val="20"/>
          <w:szCs w:val="20"/>
        </w:rPr>
        <w:t>）</w:t>
      </w:r>
    </w:p>
    <w:p w:rsidR="00875515" w:rsidRDefault="00856CDF" w:rsidP="0080328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31C58" w:rsidRPr="00F95B55" w:rsidRDefault="00E01A90" w:rsidP="00803283">
      <w:pPr>
        <w:widowControl/>
        <w:spacing w:beforeLines="50" w:afterLines="50" w:line="288" w:lineRule="auto"/>
        <w:ind w:firstLineChars="200" w:firstLine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本课程为日语专业的院级选</w:t>
      </w:r>
      <w:r w:rsidR="00333CE1">
        <w:rPr>
          <w:rFonts w:hint="eastAsia"/>
          <w:color w:val="000000"/>
          <w:sz w:val="20"/>
          <w:szCs w:val="20"/>
        </w:rPr>
        <w:t>修课，在</w:t>
      </w:r>
      <w:r w:rsidR="00333CE1" w:rsidRPr="0001569A">
        <w:rPr>
          <w:rFonts w:hint="eastAsia"/>
          <w:color w:val="000000"/>
          <w:sz w:val="20"/>
          <w:szCs w:val="20"/>
        </w:rPr>
        <w:t>日语本科</w:t>
      </w:r>
      <w:r w:rsidR="00373252">
        <w:rPr>
          <w:rFonts w:hint="eastAsia"/>
          <w:color w:val="000000"/>
          <w:sz w:val="20"/>
          <w:szCs w:val="20"/>
        </w:rPr>
        <w:t>三年级下</w:t>
      </w:r>
      <w:r w:rsidR="00333CE1">
        <w:rPr>
          <w:rFonts w:hint="eastAsia"/>
          <w:color w:val="000000"/>
          <w:sz w:val="20"/>
          <w:szCs w:val="20"/>
        </w:rPr>
        <w:t>学期开课</w:t>
      </w:r>
      <w:r w:rsidR="00333CE1" w:rsidRPr="0001569A">
        <w:rPr>
          <w:rFonts w:hint="eastAsia"/>
          <w:color w:val="000000"/>
          <w:sz w:val="20"/>
          <w:szCs w:val="20"/>
        </w:rPr>
        <w:t>。</w:t>
      </w:r>
      <w:r w:rsidR="00B11C76">
        <w:rPr>
          <w:rFonts w:ascii="宋体" w:hAnsi="宋体" w:cs="宋体" w:hint="eastAsia"/>
          <w:color w:val="000000"/>
          <w:kern w:val="0"/>
          <w:sz w:val="20"/>
          <w:szCs w:val="20"/>
        </w:rPr>
        <w:t>是一门在先修完</w:t>
      </w:r>
      <w:r w:rsidR="00B11C76">
        <w:rPr>
          <w:rFonts w:ascii="MS Mincho" w:eastAsiaTheme="minorEastAsia" w:hAnsi="MS Mincho" w:hint="eastAsia"/>
          <w:color w:val="000000"/>
          <w:sz w:val="20"/>
          <w:szCs w:val="20"/>
        </w:rPr>
        <w:t>商贸礼仪与交流</w:t>
      </w:r>
      <w:r w:rsidR="00B11C76" w:rsidRPr="006D2738">
        <w:rPr>
          <w:rFonts w:ascii="宋体" w:hAnsi="宋体" w:cs="宋体" w:hint="eastAsia"/>
          <w:color w:val="000000"/>
          <w:kern w:val="0"/>
          <w:sz w:val="20"/>
          <w:szCs w:val="20"/>
        </w:rPr>
        <w:t>的基础上培养学</w:t>
      </w:r>
      <w:r w:rsidR="00DA6A9A">
        <w:rPr>
          <w:rFonts w:ascii="宋体" w:hAnsi="宋体" w:cs="宋体" w:hint="eastAsia"/>
          <w:color w:val="000000"/>
          <w:kern w:val="0"/>
          <w:sz w:val="20"/>
          <w:szCs w:val="20"/>
        </w:rPr>
        <w:t>生在国际贸易基础及理论方面具有一定分析能力的课程。</w:t>
      </w:r>
      <w:r w:rsidR="00E31C58">
        <w:rPr>
          <w:rFonts w:ascii="宋体" w:hAnsi="宋体" w:cs="宋体" w:hint="eastAsia"/>
          <w:color w:val="000000"/>
          <w:kern w:val="0"/>
          <w:sz w:val="20"/>
          <w:szCs w:val="20"/>
        </w:rPr>
        <w:t>由于我们的学生</w:t>
      </w:r>
      <w:r w:rsidR="000934B1">
        <w:rPr>
          <w:rFonts w:ascii="宋体" w:hAnsi="宋体" w:cs="宋体" w:hint="eastAsia"/>
          <w:color w:val="000000"/>
          <w:kern w:val="0"/>
          <w:sz w:val="20"/>
          <w:szCs w:val="20"/>
        </w:rPr>
        <w:t>进入大学日语专业学习之前，对日语经贸知识知之甚少，甚至对汉语的经贸知识也不甚了解，通过小专栏</w:t>
      </w:r>
      <w:r w:rsidR="00432A16">
        <w:rPr>
          <w:rFonts w:ascii="宋体" w:hAnsi="宋体" w:cs="宋体" w:hint="eastAsia"/>
          <w:color w:val="000000"/>
          <w:kern w:val="0"/>
          <w:sz w:val="20"/>
          <w:szCs w:val="20"/>
        </w:rPr>
        <w:t>，用中文介绍一些经贸专业知识，在此基础上</w:t>
      </w:r>
      <w:r w:rsidR="00DA6A9A">
        <w:rPr>
          <w:rFonts w:ascii="宋体" w:hAnsi="宋体" w:cs="宋体" w:hint="eastAsia"/>
          <w:color w:val="000000"/>
          <w:kern w:val="0"/>
          <w:sz w:val="20"/>
          <w:szCs w:val="20"/>
        </w:rPr>
        <w:t>培养学生全方位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DA6A9A">
        <w:rPr>
          <w:rFonts w:ascii="宋体" w:eastAsiaTheme="minorEastAsia" w:hAnsi="宋体" w:cs="宋体" w:hint="eastAsia"/>
          <w:color w:val="000000"/>
          <w:kern w:val="0"/>
          <w:sz w:val="20"/>
          <w:szCs w:val="20"/>
        </w:rPr>
        <w:t>多信息地了解和掌握日语经贸基础知识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DA6A9A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谈判与签约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DA6A9A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信息证种类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DA6A9A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报关检查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DA6A9A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货物装船和</w:t>
      </w:r>
      <w:r w:rsidR="00E31C58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保险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E31C58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结汇和索赔</w:t>
      </w:r>
      <w:r w:rsidR="00DA6A9A">
        <w:rPr>
          <w:rFonts w:ascii="宋体" w:eastAsia="MS Mincho" w:hAnsi="宋体" w:cs="宋体" w:hint="eastAsia"/>
          <w:color w:val="000000"/>
          <w:kern w:val="0"/>
          <w:sz w:val="20"/>
          <w:szCs w:val="20"/>
        </w:rPr>
        <w:t>、</w:t>
      </w:r>
      <w:r w:rsidR="00E31C58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外汇交易以及经贸商务信函等多方面的内容，</w:t>
      </w:r>
      <w:r w:rsidR="00B11C76">
        <w:rPr>
          <w:rFonts w:ascii="宋体" w:hAnsi="宋体" w:cs="宋体" w:hint="eastAsia"/>
          <w:color w:val="000000"/>
          <w:kern w:val="0"/>
          <w:sz w:val="20"/>
          <w:szCs w:val="20"/>
        </w:rPr>
        <w:t>掌握如何书写商务信件的写作格式，</w:t>
      </w:r>
      <w:r w:rsidR="00B11C76" w:rsidRPr="006D2738">
        <w:rPr>
          <w:rFonts w:ascii="宋体" w:hAnsi="宋体" w:cs="宋体" w:hint="eastAsia"/>
          <w:color w:val="000000"/>
          <w:kern w:val="0"/>
          <w:sz w:val="20"/>
          <w:szCs w:val="20"/>
        </w:rPr>
        <w:t>尽快适应毕业后</w:t>
      </w:r>
      <w:r w:rsidR="00B11C76">
        <w:rPr>
          <w:rFonts w:ascii="宋体" w:hAnsi="宋体" w:cs="宋体" w:hint="eastAsia"/>
          <w:color w:val="000000"/>
          <w:kern w:val="0"/>
          <w:sz w:val="20"/>
          <w:szCs w:val="20"/>
        </w:rPr>
        <w:t>在</w:t>
      </w:r>
      <w:r w:rsidR="00B11C76" w:rsidRPr="006D2738">
        <w:rPr>
          <w:rFonts w:ascii="宋体" w:hAnsi="宋体" w:cs="宋体" w:hint="eastAsia"/>
          <w:color w:val="000000"/>
          <w:kern w:val="0"/>
          <w:sz w:val="20"/>
          <w:szCs w:val="20"/>
        </w:rPr>
        <w:t>日资企业</w:t>
      </w:r>
      <w:r w:rsidR="00B11C76">
        <w:rPr>
          <w:rFonts w:ascii="宋体" w:hAnsi="宋体" w:cs="宋体" w:hint="eastAsia"/>
          <w:color w:val="000000"/>
          <w:kern w:val="0"/>
          <w:sz w:val="20"/>
          <w:szCs w:val="20"/>
        </w:rPr>
        <w:t>从事</w:t>
      </w:r>
      <w:r w:rsidR="00B11C76" w:rsidRPr="006D2738">
        <w:rPr>
          <w:rFonts w:ascii="宋体" w:hAnsi="宋体" w:cs="宋体" w:hint="eastAsia"/>
          <w:color w:val="000000"/>
          <w:kern w:val="0"/>
          <w:sz w:val="20"/>
          <w:szCs w:val="20"/>
        </w:rPr>
        <w:t>国际贸易</w:t>
      </w:r>
      <w:r w:rsidR="00B11C76">
        <w:rPr>
          <w:rFonts w:ascii="宋体" w:hAnsi="宋体" w:cs="宋体" w:hint="eastAsia"/>
          <w:color w:val="000000"/>
          <w:kern w:val="0"/>
          <w:sz w:val="20"/>
          <w:szCs w:val="20"/>
        </w:rPr>
        <w:t>工作</w:t>
      </w:r>
      <w:r w:rsidR="00B11C76" w:rsidRPr="006D2738">
        <w:rPr>
          <w:rFonts w:ascii="宋体" w:hAnsi="宋体" w:cs="宋体" w:hint="eastAsia"/>
          <w:color w:val="000000"/>
          <w:kern w:val="0"/>
          <w:sz w:val="20"/>
          <w:szCs w:val="20"/>
        </w:rPr>
        <w:t>的基本流程及相关日语。</w:t>
      </w:r>
    </w:p>
    <w:p w:rsidR="00875515" w:rsidRDefault="00856CDF" w:rsidP="0080328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82214">
        <w:rPr>
          <w:rFonts w:ascii="黑体" w:eastAsia="黑体" w:hAnsi="宋体"/>
          <w:sz w:val="24"/>
        </w:rPr>
        <w:t>选课建议</w:t>
      </w:r>
    </w:p>
    <w:p w:rsidR="00875515" w:rsidRDefault="00B11C76" w:rsidP="005B4F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本课程适合日语本科专业三年级第二</w:t>
      </w:r>
      <w:r w:rsidR="00232EB2">
        <w:rPr>
          <w:rFonts w:hint="eastAsia"/>
          <w:color w:val="000000"/>
          <w:sz w:val="20"/>
          <w:szCs w:val="20"/>
        </w:rPr>
        <w:t>学期开设</w:t>
      </w:r>
      <w:r w:rsidR="00731F2F">
        <w:rPr>
          <w:rFonts w:hint="eastAsia"/>
          <w:color w:val="000000"/>
          <w:sz w:val="20"/>
          <w:szCs w:val="20"/>
        </w:rPr>
        <w:t>。</w:t>
      </w:r>
      <w:r w:rsidR="008F6F8B">
        <w:rPr>
          <w:rFonts w:hint="eastAsia"/>
          <w:sz w:val="20"/>
          <w:szCs w:val="20"/>
        </w:rPr>
        <w:t>学生</w:t>
      </w:r>
      <w:r w:rsidR="008F6F8B">
        <w:rPr>
          <w:sz w:val="20"/>
          <w:szCs w:val="20"/>
        </w:rPr>
        <w:t>已具备较为扎实的日语知识和日语表达能力。</w:t>
      </w:r>
    </w:p>
    <w:p w:rsidR="000D78E7" w:rsidRDefault="000D78E7" w:rsidP="0080328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0D78E7" w:rsidTr="00772905">
        <w:trPr>
          <w:trHeight w:val="223"/>
        </w:trPr>
        <w:tc>
          <w:tcPr>
            <w:tcW w:w="675" w:type="dxa"/>
            <w:vMerge w:val="restart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0D78E7" w:rsidTr="00772905">
        <w:trPr>
          <w:trHeight w:val="345"/>
        </w:trPr>
        <w:tc>
          <w:tcPr>
            <w:tcW w:w="675" w:type="dxa"/>
            <w:vMerge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</w:p>
        </w:tc>
        <w:tc>
          <w:tcPr>
            <w:tcW w:w="850" w:type="dxa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78E7" w:rsidRDefault="000D78E7" w:rsidP="00772905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0D78E7" w:rsidTr="00772905">
        <w:trPr>
          <w:trHeight w:val="372"/>
        </w:trPr>
        <w:tc>
          <w:tcPr>
            <w:tcW w:w="675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D78E7" w:rsidRDefault="000D78E7" w:rsidP="007729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875515" w:rsidRPr="000D78E7" w:rsidRDefault="00875515"/>
    <w:p w:rsidR="00D93672" w:rsidRDefault="00D93672" w:rsidP="0080328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课程学习</w:t>
      </w:r>
      <w:r>
        <w:rPr>
          <w:rFonts w:ascii="黑体" w:eastAsia="黑体" w:hAnsi="宋体" w:hint="eastAsia"/>
          <w:sz w:val="24"/>
        </w:rPr>
        <w:t>目标</w:t>
      </w:r>
    </w:p>
    <w:p w:rsidR="00875515" w:rsidRPr="00D93672" w:rsidRDefault="00D93672" w:rsidP="00F95B55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kern w:val="0"/>
          <w:sz w:val="20"/>
          <w:szCs w:val="20"/>
        </w:rPr>
        <w:t>本课程要求学生拥有较扎实的日语基础，了解日本商务文化常识。通过《经贸日语》课程的学习，要求学生在提升语言技能的同时，熟知贸易规章流程，具备进出口等相关业务独立操作的</w:t>
      </w:r>
      <w:r>
        <w:rPr>
          <w:rFonts w:ascii="宋体" w:hAnsi="宋体" w:hint="eastAsia"/>
          <w:kern w:val="0"/>
          <w:sz w:val="20"/>
          <w:szCs w:val="20"/>
        </w:rPr>
        <w:lastRenderedPageBreak/>
        <w:t>能力，具备较好的对外贸易日语沟通和计算机应用能力，能够理解日本企业文化、外贸企业的特点、国际贸易相关工作的工作性质、外贸工作的注意点和难点等，为将来能够在外贸企业、外资企业、自营进出口企业等各类外向型企业从事对日国际贸易、文秘、翻译等各项工作做准备。</w:t>
      </w:r>
    </w:p>
    <w:p w:rsidR="00E33D60" w:rsidRPr="00482214" w:rsidRDefault="00856CDF" w:rsidP="0080328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82214">
        <w:rPr>
          <w:rFonts w:ascii="黑体" w:eastAsia="黑体" w:hAnsi="宋体" w:hint="eastAsia"/>
          <w:sz w:val="24"/>
        </w:rPr>
        <w:t>六、</w:t>
      </w:r>
      <w:r w:rsidR="00482214" w:rsidRPr="00482214">
        <w:rPr>
          <w:rFonts w:ascii="黑体" w:eastAsia="黑体" w:hAnsi="宋体"/>
          <w:sz w:val="24"/>
        </w:rPr>
        <w:t>课程内容</w:t>
      </w:r>
    </w:p>
    <w:p w:rsidR="00627300" w:rsidRDefault="008B2E71" w:rsidP="00627300">
      <w:pPr>
        <w:snapToGrid w:val="0"/>
        <w:spacing w:line="288" w:lineRule="auto"/>
        <w:ind w:firstLineChars="200" w:firstLine="400"/>
        <w:rPr>
          <w:rFonts w:eastAsia="MS Mincho"/>
          <w:bCs/>
          <w:sz w:val="20"/>
          <w:szCs w:val="20"/>
        </w:rPr>
      </w:pPr>
      <w:r w:rsidRPr="00482214">
        <w:rPr>
          <w:rFonts w:hint="eastAsia"/>
          <w:bCs/>
          <w:sz w:val="20"/>
          <w:szCs w:val="20"/>
        </w:rPr>
        <w:t>本学期内容共分为六个单元：</w:t>
      </w:r>
    </w:p>
    <w:p w:rsidR="00F95B55" w:rsidRDefault="008B2E71" w:rsidP="00627300">
      <w:pPr>
        <w:snapToGrid w:val="0"/>
        <w:spacing w:line="288" w:lineRule="auto"/>
        <w:ind w:firstLineChars="100" w:firstLine="2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第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１</w:t>
      </w:r>
      <w:r>
        <w:rPr>
          <w:rFonts w:hint="eastAsia"/>
          <w:bCs/>
          <w:sz w:val="20"/>
          <w:szCs w:val="20"/>
          <w:lang w:eastAsia="ja-JP"/>
        </w:rPr>
        <w:t>章</w:t>
      </w:r>
      <w:r w:rsidR="00E33D60">
        <w:rPr>
          <w:rFonts w:eastAsia="MS Mincho" w:hint="eastAsia"/>
          <w:bCs/>
          <w:sz w:val="20"/>
          <w:szCs w:val="20"/>
          <w:lang w:eastAsia="ja-JP"/>
        </w:rPr>
        <w:t>：貿易の基礎知識</w:t>
      </w:r>
    </w:p>
    <w:p w:rsidR="00F95B55" w:rsidRDefault="00E33D60" w:rsidP="00627300">
      <w:pPr>
        <w:snapToGrid w:val="0"/>
        <w:spacing w:line="288" w:lineRule="auto"/>
        <w:ind w:firstLineChars="100" w:firstLine="200"/>
        <w:rPr>
          <w:rFonts w:ascii="MS Mincho" w:eastAsiaTheme="minorEastAsia" w:hAnsi="MS Mincho"/>
          <w:bCs/>
          <w:sz w:val="20"/>
          <w:szCs w:val="20"/>
          <w:lang w:eastAsia="ja-JP"/>
        </w:rPr>
      </w:pP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第２</w:t>
      </w:r>
      <w:r w:rsidR="008B2E71">
        <w:rPr>
          <w:rFonts w:ascii="MS Mincho" w:eastAsia="MS Mincho" w:hAnsi="MS Mincho" w:hint="eastAsia"/>
          <w:bCs/>
          <w:sz w:val="20"/>
          <w:szCs w:val="20"/>
          <w:lang w:eastAsia="ja-JP"/>
        </w:rPr>
        <w:t>章</w:t>
      </w:r>
      <w:r w:rsidR="00F95B55">
        <w:rPr>
          <w:rFonts w:ascii="MS Mincho" w:eastAsia="MS Mincho" w:hAnsi="MS Mincho" w:hint="eastAsia"/>
          <w:bCs/>
          <w:sz w:val="20"/>
          <w:szCs w:val="20"/>
          <w:lang w:eastAsia="ja-JP"/>
        </w:rPr>
        <w:t>：取引交渉と信用状</w:t>
      </w:r>
    </w:p>
    <w:p w:rsidR="00F95B55" w:rsidRDefault="00D5197B" w:rsidP="00627300">
      <w:pPr>
        <w:snapToGrid w:val="0"/>
        <w:spacing w:line="288" w:lineRule="auto"/>
        <w:ind w:firstLineChars="100" w:firstLine="200"/>
        <w:rPr>
          <w:bCs/>
          <w:sz w:val="20"/>
          <w:szCs w:val="20"/>
          <w:lang w:eastAsia="ja-JP"/>
        </w:rPr>
      </w:pP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第</w:t>
      </w:r>
      <w:r w:rsidR="00E33D60">
        <w:rPr>
          <w:rFonts w:ascii="MS Mincho" w:eastAsia="MS Mincho" w:hAnsi="MS Mincho" w:hint="eastAsia"/>
          <w:bCs/>
          <w:sz w:val="20"/>
          <w:szCs w:val="20"/>
          <w:lang w:eastAsia="ja-JP"/>
        </w:rPr>
        <w:t>３章：通関と船積み·船卸し</w:t>
      </w:r>
    </w:p>
    <w:p w:rsidR="00F95B55" w:rsidRDefault="00D5197B" w:rsidP="00627300">
      <w:pPr>
        <w:snapToGrid w:val="0"/>
        <w:spacing w:line="288" w:lineRule="auto"/>
        <w:ind w:firstLineChars="100" w:firstLine="200"/>
        <w:rPr>
          <w:rFonts w:ascii="MS Mincho" w:eastAsiaTheme="minorEastAsia" w:hAnsi="MS Mincho"/>
          <w:bCs/>
          <w:sz w:val="20"/>
          <w:szCs w:val="20"/>
          <w:lang w:eastAsia="ja-JP"/>
        </w:rPr>
      </w:pP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第</w:t>
      </w:r>
      <w:r w:rsidR="00E33D60">
        <w:rPr>
          <w:rFonts w:ascii="MS Mincho" w:eastAsia="MS Mincho" w:hAnsi="MS Mincho" w:hint="eastAsia"/>
          <w:bCs/>
          <w:sz w:val="20"/>
          <w:szCs w:val="20"/>
          <w:lang w:eastAsia="ja-JP"/>
        </w:rPr>
        <w:t>４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章</w:t>
      </w:r>
      <w:r w:rsidR="00E33D60">
        <w:rPr>
          <w:rFonts w:ascii="MS Mincho" w:eastAsia="MS Mincho" w:hAnsi="MS Mincho" w:hint="eastAsia"/>
          <w:bCs/>
          <w:sz w:val="20"/>
          <w:szCs w:val="20"/>
          <w:lang w:eastAsia="ja-JP"/>
        </w:rPr>
        <w:t>：決済·</w:t>
      </w:r>
      <w:r w:rsidR="00627300">
        <w:rPr>
          <w:rFonts w:ascii="MS Mincho" w:eastAsia="MS Mincho" w:hAnsi="MS Mincho" w:hint="eastAsia"/>
          <w:bCs/>
          <w:sz w:val="20"/>
          <w:szCs w:val="20"/>
          <w:lang w:eastAsia="ja-JP"/>
        </w:rPr>
        <w:t>金融とクレーム</w:t>
      </w:r>
    </w:p>
    <w:p w:rsidR="00F95B55" w:rsidRDefault="007302E4" w:rsidP="00627300">
      <w:pPr>
        <w:snapToGrid w:val="0"/>
        <w:spacing w:line="288" w:lineRule="auto"/>
        <w:ind w:firstLineChars="100" w:firstLine="200"/>
        <w:rPr>
          <w:rFonts w:ascii="MS Mincho" w:eastAsiaTheme="minorEastAsia" w:hAnsi="MS Mincho"/>
          <w:bCs/>
          <w:sz w:val="20"/>
          <w:szCs w:val="20"/>
          <w:lang w:eastAsia="ja-JP"/>
        </w:rPr>
      </w:pP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第</w:t>
      </w:r>
      <w:r w:rsidR="00627300">
        <w:rPr>
          <w:rFonts w:ascii="MS Mincho" w:eastAsia="MS Mincho" w:hAnsi="MS Mincho" w:hint="eastAsia"/>
          <w:bCs/>
          <w:sz w:val="20"/>
          <w:szCs w:val="20"/>
          <w:lang w:eastAsia="ja-JP"/>
        </w:rPr>
        <w:t>５</w:t>
      </w:r>
      <w:r w:rsidR="00FD223D">
        <w:rPr>
          <w:rFonts w:ascii="MS Mincho" w:eastAsia="MS Mincho" w:hAnsi="MS Mincho" w:hint="eastAsia"/>
          <w:bCs/>
          <w:sz w:val="20"/>
          <w:szCs w:val="20"/>
          <w:lang w:eastAsia="ja-JP"/>
        </w:rPr>
        <w:t>章</w:t>
      </w:r>
      <w:r w:rsidR="00627300">
        <w:rPr>
          <w:rFonts w:ascii="MS Mincho" w:eastAsia="MS Mincho" w:hAnsi="MS Mincho" w:hint="eastAsia"/>
          <w:bCs/>
          <w:sz w:val="20"/>
          <w:szCs w:val="20"/>
          <w:lang w:eastAsia="ja-JP"/>
        </w:rPr>
        <w:t>：外国為替の基礎知識</w:t>
      </w:r>
    </w:p>
    <w:p w:rsidR="00F95B55" w:rsidRDefault="00FD223D" w:rsidP="00627300">
      <w:pPr>
        <w:snapToGrid w:val="0"/>
        <w:spacing w:line="288" w:lineRule="auto"/>
        <w:ind w:firstLineChars="100" w:firstLine="200"/>
        <w:rPr>
          <w:bCs/>
          <w:sz w:val="20"/>
          <w:szCs w:val="20"/>
          <w:lang w:eastAsia="ja-JP"/>
        </w:rPr>
      </w:pP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第</w:t>
      </w:r>
      <w:r w:rsidR="00627300">
        <w:rPr>
          <w:rFonts w:ascii="MS Mincho" w:eastAsia="MS Mincho" w:hAnsi="MS Mincho" w:hint="eastAsia"/>
          <w:bCs/>
          <w:sz w:val="20"/>
          <w:szCs w:val="20"/>
          <w:lang w:eastAsia="ja-JP"/>
        </w:rPr>
        <w:t>６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章</w:t>
      </w:r>
      <w:r w:rsidR="00627300">
        <w:rPr>
          <w:rFonts w:ascii="MS Mincho" w:eastAsia="MS Mincho" w:hAnsi="MS Mincho" w:hint="eastAsia"/>
          <w:bCs/>
          <w:sz w:val="20"/>
          <w:szCs w:val="20"/>
          <w:lang w:eastAsia="ja-JP"/>
        </w:rPr>
        <w:t>：貿易商務文書の用例</w:t>
      </w:r>
      <w:r w:rsidR="005D2C6D">
        <w:rPr>
          <w:rFonts w:hint="eastAsia"/>
          <w:bCs/>
          <w:sz w:val="20"/>
          <w:szCs w:val="20"/>
          <w:lang w:eastAsia="ja-JP"/>
        </w:rPr>
        <w:t>。</w:t>
      </w:r>
    </w:p>
    <w:p w:rsidR="00EB67D9" w:rsidRPr="00627300" w:rsidRDefault="00F95B55" w:rsidP="00F95B55">
      <w:pPr>
        <w:snapToGrid w:val="0"/>
        <w:spacing w:line="288" w:lineRule="auto"/>
        <w:ind w:firstLineChars="200" w:firstLine="400"/>
        <w:rPr>
          <w:rFonts w:ascii="MS Mincho" w:eastAsia="MS Mincho" w:hAnsi="MS Mincho"/>
          <w:bCs/>
          <w:sz w:val="20"/>
          <w:szCs w:val="20"/>
        </w:rPr>
      </w:pPr>
      <w:r>
        <w:rPr>
          <w:rFonts w:ascii="MS Mincho" w:eastAsiaTheme="minorEastAsia" w:hAnsi="MS Mincho" w:hint="eastAsia"/>
          <w:bCs/>
          <w:sz w:val="20"/>
          <w:szCs w:val="20"/>
        </w:rPr>
        <w:t>第</w:t>
      </w:r>
      <w:r>
        <w:rPr>
          <w:rFonts w:ascii="MS Mincho" w:eastAsiaTheme="minorEastAsia" w:hAnsi="MS Mincho" w:hint="eastAsia"/>
          <w:bCs/>
          <w:sz w:val="20"/>
          <w:szCs w:val="20"/>
        </w:rPr>
        <w:t>1-5</w:t>
      </w:r>
      <w:r>
        <w:rPr>
          <w:rFonts w:ascii="MS Mincho" w:eastAsiaTheme="minorEastAsia" w:hAnsi="MS Mincho" w:hint="eastAsia"/>
          <w:bCs/>
          <w:sz w:val="20"/>
          <w:szCs w:val="20"/>
        </w:rPr>
        <w:t>章每</w:t>
      </w:r>
      <w:r w:rsidR="00FD223D">
        <w:rPr>
          <w:rFonts w:hint="eastAsia"/>
          <w:bCs/>
          <w:sz w:val="20"/>
          <w:szCs w:val="20"/>
        </w:rPr>
        <w:t>章</w:t>
      </w:r>
      <w:r w:rsidR="00627300">
        <w:rPr>
          <w:rFonts w:hint="eastAsia"/>
          <w:bCs/>
          <w:sz w:val="20"/>
          <w:szCs w:val="20"/>
        </w:rPr>
        <w:t>上两周，第六章上六周。每周的具体内容分为六个版块，由发表练习、单词、课文</w:t>
      </w:r>
      <w:r w:rsidR="005D2C6D">
        <w:rPr>
          <w:rFonts w:hint="eastAsia"/>
          <w:bCs/>
          <w:sz w:val="20"/>
          <w:szCs w:val="20"/>
        </w:rPr>
        <w:t>、</w:t>
      </w:r>
      <w:r w:rsidR="00627300">
        <w:rPr>
          <w:rFonts w:hint="eastAsia"/>
          <w:bCs/>
          <w:sz w:val="20"/>
          <w:szCs w:val="20"/>
        </w:rPr>
        <w:t>专集</w:t>
      </w:r>
      <w:r w:rsidR="00627300">
        <w:rPr>
          <w:rFonts w:ascii="MS Mincho" w:eastAsia="MS Mincho" w:hAnsi="MS Mincho" w:hint="eastAsia"/>
          <w:bCs/>
          <w:sz w:val="20"/>
          <w:szCs w:val="20"/>
        </w:rPr>
        <w:t>、</w:t>
      </w:r>
      <w:r w:rsidR="00627300">
        <w:rPr>
          <w:rFonts w:asciiTheme="minorEastAsia" w:eastAsiaTheme="minorEastAsia" w:hAnsiTheme="minorEastAsia" w:hint="eastAsia"/>
          <w:bCs/>
          <w:sz w:val="20"/>
          <w:szCs w:val="20"/>
        </w:rPr>
        <w:t>专业术语的解说</w:t>
      </w:r>
      <w:r w:rsidR="00627300">
        <w:rPr>
          <w:rFonts w:hint="eastAsia"/>
          <w:bCs/>
          <w:sz w:val="20"/>
          <w:szCs w:val="20"/>
        </w:rPr>
        <w:t>和练习</w:t>
      </w:r>
      <w:r w:rsidR="005D2C6D">
        <w:rPr>
          <w:rFonts w:hint="eastAsia"/>
          <w:bCs/>
          <w:sz w:val="20"/>
          <w:szCs w:val="20"/>
        </w:rPr>
        <w:t>组成。</w:t>
      </w:r>
    </w:p>
    <w:p w:rsidR="00E33D60" w:rsidRDefault="00025F4A" w:rsidP="00E33D60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每个版块分配时间：</w:t>
      </w:r>
    </w:p>
    <w:p w:rsidR="00E33D60" w:rsidRPr="001A475F" w:rsidRDefault="00E33D60" w:rsidP="00E33D60">
      <w:pPr>
        <w:snapToGrid w:val="0"/>
        <w:spacing w:line="288" w:lineRule="auto"/>
        <w:ind w:firstLineChars="200" w:firstLine="400"/>
        <w:rPr>
          <w:rFonts w:ascii="仿宋_GB2312" w:eastAsia="MS Mincho" w:hAnsi="宋体"/>
          <w:bCs/>
          <w:szCs w:val="21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 xml:space="preserve">    </w:t>
      </w:r>
      <w:r>
        <w:rPr>
          <w:rFonts w:ascii="仿宋_GB2312" w:eastAsia="MS Mincho" w:hAnsi="宋体" w:hint="eastAsia"/>
          <w:bCs/>
          <w:szCs w:val="21"/>
          <w:lang w:eastAsia="ja-JP"/>
        </w:rPr>
        <w:t xml:space="preserve">練習の発表：　　　　</w:t>
      </w:r>
      <w:r>
        <w:rPr>
          <w:rFonts w:asciiTheme="minorEastAsia" w:hAnsiTheme="minorEastAsia" w:hint="eastAsia"/>
          <w:bCs/>
          <w:sz w:val="20"/>
          <w:szCs w:val="20"/>
          <w:lang w:eastAsia="ja-JP"/>
        </w:rPr>
        <w:t xml:space="preserve"> </w:t>
      </w:r>
      <w:r>
        <w:rPr>
          <w:rFonts w:hint="eastAsia"/>
          <w:bCs/>
          <w:sz w:val="20"/>
          <w:szCs w:val="20"/>
          <w:lang w:eastAsia="ja-JP"/>
        </w:rPr>
        <w:t>10</w:t>
      </w:r>
      <w:r>
        <w:rPr>
          <w:rFonts w:hint="eastAsia"/>
          <w:bCs/>
          <w:sz w:val="20"/>
          <w:szCs w:val="20"/>
          <w:lang w:eastAsia="ja-JP"/>
        </w:rPr>
        <w:t>分钟</w:t>
      </w:r>
    </w:p>
    <w:p w:rsidR="00E33D60" w:rsidRDefault="00E33D60" w:rsidP="00E33D60">
      <w:pPr>
        <w:snapToGrid w:val="0"/>
        <w:spacing w:line="288" w:lineRule="auto"/>
        <w:ind w:firstLineChars="200" w:firstLine="420"/>
        <w:rPr>
          <w:bCs/>
          <w:sz w:val="20"/>
          <w:szCs w:val="20"/>
        </w:rPr>
      </w:pPr>
      <w:r>
        <w:rPr>
          <w:rFonts w:ascii="仿宋_GB2312" w:eastAsia="仿宋_GB2312" w:hAnsi="宋体" w:hint="eastAsia"/>
          <w:bCs/>
          <w:szCs w:val="21"/>
          <w:lang w:eastAsia="ja-JP"/>
        </w:rPr>
        <w:t xml:space="preserve">    </w:t>
      </w:r>
      <w:r>
        <w:rPr>
          <w:rFonts w:ascii="MS Mincho" w:eastAsia="MS Mincho" w:hAnsi="MS Mincho" w:hint="eastAsia"/>
          <w:bCs/>
          <w:sz w:val="20"/>
          <w:szCs w:val="20"/>
        </w:rPr>
        <w:t>単語</w:t>
      </w:r>
      <w:r>
        <w:rPr>
          <w:rFonts w:hint="eastAsia"/>
          <w:bCs/>
          <w:sz w:val="20"/>
          <w:szCs w:val="20"/>
        </w:rPr>
        <w:t>：</w:t>
      </w:r>
      <w:r>
        <w:rPr>
          <w:rFonts w:ascii="MS Mincho" w:eastAsia="MS Mincho" w:hAnsi="MS Mincho" w:hint="eastAsia"/>
          <w:bCs/>
          <w:sz w:val="20"/>
          <w:szCs w:val="20"/>
        </w:rPr>
        <w:t xml:space="preserve">　　　　　　　　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分钟</w:t>
      </w:r>
    </w:p>
    <w:p w:rsidR="00E33D60" w:rsidRDefault="00E33D60" w:rsidP="00E33D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ascii="MS Mincho" w:eastAsia="MS Mincho" w:hAnsi="MS Mincho" w:hint="eastAsia"/>
          <w:bCs/>
          <w:sz w:val="20"/>
          <w:szCs w:val="20"/>
        </w:rPr>
        <w:t>本文</w:t>
      </w:r>
      <w:r>
        <w:rPr>
          <w:rFonts w:hint="eastAsia"/>
          <w:bCs/>
          <w:sz w:val="20"/>
          <w:szCs w:val="20"/>
        </w:rPr>
        <w:t>：</w:t>
      </w:r>
      <w:r>
        <w:rPr>
          <w:rFonts w:ascii="MS Mincho" w:eastAsia="MS Mincho" w:hAnsi="MS Mincho" w:hint="eastAsia"/>
          <w:bCs/>
          <w:sz w:val="20"/>
          <w:szCs w:val="20"/>
        </w:rPr>
        <w:t xml:space="preserve">　　　　　　　　</w:t>
      </w:r>
      <w:r>
        <w:rPr>
          <w:rFonts w:hint="eastAsia"/>
          <w:bCs/>
          <w:sz w:val="20"/>
          <w:szCs w:val="20"/>
        </w:rPr>
        <w:t>30</w:t>
      </w:r>
      <w:r>
        <w:rPr>
          <w:rFonts w:hint="eastAsia"/>
          <w:bCs/>
          <w:sz w:val="20"/>
          <w:szCs w:val="20"/>
        </w:rPr>
        <w:t>分钟</w:t>
      </w:r>
    </w:p>
    <w:p w:rsidR="00E33D60" w:rsidRDefault="00E33D60" w:rsidP="00E33D60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コラム</w:t>
      </w:r>
      <w:r>
        <w:rPr>
          <w:rFonts w:hint="eastAsia"/>
          <w:bCs/>
          <w:sz w:val="20"/>
          <w:szCs w:val="20"/>
          <w:lang w:eastAsia="ja-JP"/>
        </w:rPr>
        <w:t>：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 xml:space="preserve">　　　　　　　</w:t>
      </w:r>
      <w:r>
        <w:rPr>
          <w:rFonts w:hint="eastAsia"/>
          <w:bCs/>
          <w:sz w:val="20"/>
          <w:szCs w:val="20"/>
          <w:lang w:eastAsia="ja-JP"/>
        </w:rPr>
        <w:t>10</w:t>
      </w:r>
      <w:r>
        <w:rPr>
          <w:rFonts w:hint="eastAsia"/>
          <w:bCs/>
          <w:sz w:val="20"/>
          <w:szCs w:val="20"/>
          <w:lang w:eastAsia="ja-JP"/>
        </w:rPr>
        <w:t>分钟</w:t>
      </w:r>
    </w:p>
    <w:p w:rsidR="00E33D60" w:rsidRDefault="00E33D60" w:rsidP="00E33D60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 xml:space="preserve">    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専門用語の説明</w:t>
      </w:r>
      <w:r>
        <w:rPr>
          <w:rFonts w:hint="eastAsia"/>
          <w:bCs/>
          <w:sz w:val="20"/>
          <w:szCs w:val="20"/>
          <w:lang w:eastAsia="ja-JP"/>
        </w:rPr>
        <w:t>：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 xml:space="preserve">　　　</w:t>
      </w:r>
      <w:r>
        <w:rPr>
          <w:rFonts w:hint="eastAsia"/>
          <w:bCs/>
          <w:sz w:val="20"/>
          <w:szCs w:val="20"/>
          <w:lang w:eastAsia="ja-JP"/>
        </w:rPr>
        <w:t>15</w:t>
      </w:r>
      <w:r>
        <w:rPr>
          <w:rFonts w:hint="eastAsia"/>
          <w:bCs/>
          <w:sz w:val="20"/>
          <w:szCs w:val="20"/>
          <w:lang w:eastAsia="ja-JP"/>
        </w:rPr>
        <w:t>分钟</w:t>
      </w:r>
    </w:p>
    <w:p w:rsidR="00E33D60" w:rsidRDefault="00E33D60" w:rsidP="00E33D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 xml:space="preserve">    </w:t>
      </w:r>
      <w:r>
        <w:rPr>
          <w:rFonts w:ascii="MS Mincho" w:eastAsia="MS Mincho" w:hAnsi="MS Mincho" w:hint="eastAsia"/>
          <w:bCs/>
          <w:sz w:val="20"/>
          <w:szCs w:val="20"/>
        </w:rPr>
        <w:t>練習</w:t>
      </w:r>
      <w:r>
        <w:rPr>
          <w:rFonts w:hint="eastAsia"/>
          <w:bCs/>
          <w:sz w:val="20"/>
          <w:szCs w:val="20"/>
        </w:rPr>
        <w:t>：</w:t>
      </w:r>
      <w:r>
        <w:rPr>
          <w:rFonts w:ascii="MS Mincho" w:eastAsia="MS Mincho" w:hAnsi="MS Mincho" w:hint="eastAsia"/>
          <w:bCs/>
          <w:sz w:val="20"/>
          <w:szCs w:val="20"/>
        </w:rPr>
        <w:t xml:space="preserve">　　　　　　　　</w:t>
      </w:r>
      <w:r>
        <w:rPr>
          <w:rFonts w:asciiTheme="minorEastAsia" w:hAnsiTheme="minorEastAsia"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分钟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D93672" w:rsidTr="00772905">
        <w:tc>
          <w:tcPr>
            <w:tcW w:w="2660" w:type="dxa"/>
          </w:tcPr>
          <w:p w:rsidR="00D93672" w:rsidRDefault="00D93672" w:rsidP="00803283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bCs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szCs w:val="21"/>
              </w:rPr>
              <w:t>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294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（1）</w:t>
            </w:r>
          </w:p>
        </w:tc>
        <w:tc>
          <w:tcPr>
            <w:tcW w:w="3085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（X1、X2、X3）</w:t>
            </w:r>
          </w:p>
        </w:tc>
      </w:tr>
      <w:tr w:rsidR="00D93672" w:rsidTr="00772905">
        <w:tc>
          <w:tcPr>
            <w:tcW w:w="2660" w:type="dxa"/>
          </w:tcPr>
          <w:p w:rsidR="00D93672" w:rsidRDefault="00D93672" w:rsidP="00803283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085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课堂小测验</w:t>
            </w:r>
          </w:p>
        </w:tc>
      </w:tr>
      <w:tr w:rsidR="00D93672" w:rsidTr="00772905">
        <w:tc>
          <w:tcPr>
            <w:tcW w:w="2660" w:type="dxa"/>
          </w:tcPr>
          <w:p w:rsidR="00D93672" w:rsidRDefault="00D93672" w:rsidP="00803283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szCs w:val="20"/>
              </w:rPr>
              <w:t>比例%</w:t>
            </w:r>
          </w:p>
        </w:tc>
        <w:tc>
          <w:tcPr>
            <w:tcW w:w="3294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  <w:tc>
          <w:tcPr>
            <w:tcW w:w="3085" w:type="dxa"/>
          </w:tcPr>
          <w:p w:rsidR="00D93672" w:rsidRDefault="00D93672" w:rsidP="0080328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</w:tbl>
    <w:p w:rsidR="00D93672" w:rsidRDefault="00D93672" w:rsidP="0080328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D93672" w:rsidRDefault="00D93672" w:rsidP="00D93672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D93672" w:rsidRDefault="00D93672" w:rsidP="00D93672">
      <w:pPr>
        <w:snapToGrid w:val="0"/>
        <w:spacing w:line="288" w:lineRule="auto"/>
        <w:rPr>
          <w:sz w:val="20"/>
          <w:szCs w:val="20"/>
        </w:rPr>
      </w:pPr>
    </w:p>
    <w:p w:rsidR="00D93672" w:rsidRDefault="00D93672" w:rsidP="00D93672">
      <w:pPr>
        <w:snapToGrid w:val="0"/>
        <w:spacing w:line="288" w:lineRule="auto"/>
      </w:pPr>
    </w:p>
    <w:p w:rsidR="00D93672" w:rsidRDefault="00D93672" w:rsidP="00D93672">
      <w:pPr>
        <w:snapToGrid w:val="0"/>
        <w:spacing w:line="288" w:lineRule="auto"/>
      </w:pPr>
      <w:r>
        <w:rPr>
          <w:rFonts w:hint="eastAsia"/>
        </w:rPr>
        <w:t>撰写：</w:t>
      </w:r>
      <w:r w:rsidR="00803283">
        <w:rPr>
          <w:rFonts w:hint="eastAsia"/>
        </w:rPr>
        <w:t>左</w:t>
      </w:r>
      <w:r w:rsidR="00803283">
        <w:rPr>
          <w:rFonts w:hint="eastAsia"/>
        </w:rPr>
        <w:t xml:space="preserve"> </w:t>
      </w:r>
      <w:r w:rsidR="00803283">
        <w:rPr>
          <w:rFonts w:hint="eastAsia"/>
        </w:rPr>
        <w:t>翼</w:t>
      </w:r>
      <w:r w:rsidR="00803283">
        <w:rPr>
          <w:rFonts w:hint="eastAsia"/>
        </w:rPr>
        <w:t xml:space="preserve"> </w:t>
      </w:r>
      <w:r>
        <w:rPr>
          <w:rFonts w:hint="eastAsia"/>
        </w:rPr>
        <w:t xml:space="preserve">               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               </w:t>
      </w:r>
      <w:r w:rsidR="00482214">
        <w:rPr>
          <w:rFonts w:hint="eastAsia"/>
        </w:rPr>
        <w:t>教学</w:t>
      </w:r>
      <w:r>
        <w:rPr>
          <w:rFonts w:hint="eastAsia"/>
        </w:rPr>
        <w:t>院长签字：</w:t>
      </w:r>
    </w:p>
    <w:p w:rsidR="00875515" w:rsidRPr="00D93672" w:rsidRDefault="00875515" w:rsidP="00D93672">
      <w:pPr>
        <w:snapToGrid w:val="0"/>
        <w:spacing w:line="288" w:lineRule="auto"/>
        <w:rPr>
          <w:sz w:val="28"/>
          <w:szCs w:val="28"/>
        </w:rPr>
      </w:pPr>
    </w:p>
    <w:sectPr w:rsidR="00875515" w:rsidRPr="00D93672" w:rsidSect="00D4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A2" w:rsidRDefault="008035A2" w:rsidP="003753E4">
      <w:r>
        <w:separator/>
      </w:r>
    </w:p>
  </w:endnote>
  <w:endnote w:type="continuationSeparator" w:id="1">
    <w:p w:rsidR="008035A2" w:rsidRDefault="008035A2" w:rsidP="0037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A2" w:rsidRDefault="008035A2" w:rsidP="003753E4">
      <w:r>
        <w:separator/>
      </w:r>
    </w:p>
  </w:footnote>
  <w:footnote w:type="continuationSeparator" w:id="1">
    <w:p w:rsidR="008035A2" w:rsidRDefault="008035A2" w:rsidP="0037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5FA"/>
    <w:rsid w:val="00025F4A"/>
    <w:rsid w:val="00027D0E"/>
    <w:rsid w:val="00065CEE"/>
    <w:rsid w:val="00075012"/>
    <w:rsid w:val="000934B1"/>
    <w:rsid w:val="000A1639"/>
    <w:rsid w:val="000D78E7"/>
    <w:rsid w:val="000E445E"/>
    <w:rsid w:val="000F38C2"/>
    <w:rsid w:val="001072BC"/>
    <w:rsid w:val="001230EE"/>
    <w:rsid w:val="00176B2B"/>
    <w:rsid w:val="001A225B"/>
    <w:rsid w:val="001B3882"/>
    <w:rsid w:val="001F7A6D"/>
    <w:rsid w:val="00216A36"/>
    <w:rsid w:val="00232EB2"/>
    <w:rsid w:val="0025532E"/>
    <w:rsid w:val="00256B39"/>
    <w:rsid w:val="0026033C"/>
    <w:rsid w:val="0026707E"/>
    <w:rsid w:val="002E3721"/>
    <w:rsid w:val="00313BBA"/>
    <w:rsid w:val="0032602E"/>
    <w:rsid w:val="00333CE1"/>
    <w:rsid w:val="00334DE9"/>
    <w:rsid w:val="003367AE"/>
    <w:rsid w:val="00341383"/>
    <w:rsid w:val="00362077"/>
    <w:rsid w:val="00366AB6"/>
    <w:rsid w:val="00370F6E"/>
    <w:rsid w:val="00373252"/>
    <w:rsid w:val="003753E4"/>
    <w:rsid w:val="003778F7"/>
    <w:rsid w:val="003B1258"/>
    <w:rsid w:val="004100B0"/>
    <w:rsid w:val="004241AB"/>
    <w:rsid w:val="00431E99"/>
    <w:rsid w:val="00432A16"/>
    <w:rsid w:val="004330B3"/>
    <w:rsid w:val="00482214"/>
    <w:rsid w:val="005441E2"/>
    <w:rsid w:val="005467DC"/>
    <w:rsid w:val="00553D03"/>
    <w:rsid w:val="00564246"/>
    <w:rsid w:val="005A6C22"/>
    <w:rsid w:val="005B2B6D"/>
    <w:rsid w:val="005B4AC5"/>
    <w:rsid w:val="005B4B4E"/>
    <w:rsid w:val="005B4F1D"/>
    <w:rsid w:val="005C706B"/>
    <w:rsid w:val="005D2C6D"/>
    <w:rsid w:val="005D3815"/>
    <w:rsid w:val="00624FE1"/>
    <w:rsid w:val="00627300"/>
    <w:rsid w:val="006369CE"/>
    <w:rsid w:val="0065256C"/>
    <w:rsid w:val="0066267F"/>
    <w:rsid w:val="0066489C"/>
    <w:rsid w:val="006825A6"/>
    <w:rsid w:val="00695944"/>
    <w:rsid w:val="006B15EF"/>
    <w:rsid w:val="006F329E"/>
    <w:rsid w:val="006F4989"/>
    <w:rsid w:val="007208D6"/>
    <w:rsid w:val="007302E4"/>
    <w:rsid w:val="00731F2F"/>
    <w:rsid w:val="0076769C"/>
    <w:rsid w:val="00796A21"/>
    <w:rsid w:val="007A0B72"/>
    <w:rsid w:val="007B2918"/>
    <w:rsid w:val="007F78E3"/>
    <w:rsid w:val="00803283"/>
    <w:rsid w:val="008035A2"/>
    <w:rsid w:val="0082669E"/>
    <w:rsid w:val="00851AED"/>
    <w:rsid w:val="008535BD"/>
    <w:rsid w:val="00856CDF"/>
    <w:rsid w:val="00875515"/>
    <w:rsid w:val="008B2BC9"/>
    <w:rsid w:val="008B2E71"/>
    <w:rsid w:val="008B397C"/>
    <w:rsid w:val="008B47F4"/>
    <w:rsid w:val="008D23CA"/>
    <w:rsid w:val="008F0D16"/>
    <w:rsid w:val="008F6F8B"/>
    <w:rsid w:val="00900019"/>
    <w:rsid w:val="00956038"/>
    <w:rsid w:val="0096205C"/>
    <w:rsid w:val="0098408E"/>
    <w:rsid w:val="0099063E"/>
    <w:rsid w:val="009934A9"/>
    <w:rsid w:val="009D27CD"/>
    <w:rsid w:val="00A15C23"/>
    <w:rsid w:val="00A264F9"/>
    <w:rsid w:val="00A33DA4"/>
    <w:rsid w:val="00A40FE8"/>
    <w:rsid w:val="00A6604E"/>
    <w:rsid w:val="00A72D51"/>
    <w:rsid w:val="00A769B1"/>
    <w:rsid w:val="00AC4C45"/>
    <w:rsid w:val="00AD38F2"/>
    <w:rsid w:val="00B0356A"/>
    <w:rsid w:val="00B11C76"/>
    <w:rsid w:val="00B46F21"/>
    <w:rsid w:val="00B511A5"/>
    <w:rsid w:val="00B736A7"/>
    <w:rsid w:val="00B7651F"/>
    <w:rsid w:val="00B9293A"/>
    <w:rsid w:val="00BB1584"/>
    <w:rsid w:val="00C005E0"/>
    <w:rsid w:val="00C54B61"/>
    <w:rsid w:val="00C56E09"/>
    <w:rsid w:val="00C67869"/>
    <w:rsid w:val="00C7596E"/>
    <w:rsid w:val="00C94BBE"/>
    <w:rsid w:val="00CC137E"/>
    <w:rsid w:val="00CC1A35"/>
    <w:rsid w:val="00CC762A"/>
    <w:rsid w:val="00CF096B"/>
    <w:rsid w:val="00CF5983"/>
    <w:rsid w:val="00CF66B9"/>
    <w:rsid w:val="00D01752"/>
    <w:rsid w:val="00D24A55"/>
    <w:rsid w:val="00D47438"/>
    <w:rsid w:val="00D5197B"/>
    <w:rsid w:val="00D84E11"/>
    <w:rsid w:val="00D90C6F"/>
    <w:rsid w:val="00D93672"/>
    <w:rsid w:val="00DA6A9A"/>
    <w:rsid w:val="00DD2F2E"/>
    <w:rsid w:val="00DE7EB2"/>
    <w:rsid w:val="00DF6CB8"/>
    <w:rsid w:val="00E01A90"/>
    <w:rsid w:val="00E1435F"/>
    <w:rsid w:val="00E16D30"/>
    <w:rsid w:val="00E2292E"/>
    <w:rsid w:val="00E26C48"/>
    <w:rsid w:val="00E31C58"/>
    <w:rsid w:val="00E33169"/>
    <w:rsid w:val="00E33D60"/>
    <w:rsid w:val="00E70904"/>
    <w:rsid w:val="00EB67D9"/>
    <w:rsid w:val="00ED0BE0"/>
    <w:rsid w:val="00EF1E6C"/>
    <w:rsid w:val="00EF44B1"/>
    <w:rsid w:val="00F35AA0"/>
    <w:rsid w:val="00F61F4F"/>
    <w:rsid w:val="00F666FF"/>
    <w:rsid w:val="00F95B55"/>
    <w:rsid w:val="00FA1ACC"/>
    <w:rsid w:val="00FD223D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7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D4743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474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438"/>
    <w:rPr>
      <w:sz w:val="18"/>
      <w:szCs w:val="18"/>
    </w:rPr>
  </w:style>
  <w:style w:type="character" w:styleId="a6">
    <w:name w:val="Hyperlink"/>
    <w:basedOn w:val="a0"/>
    <w:rsid w:val="00DF6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C412C2-39E3-4255-84CF-59A442A2C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43</cp:revision>
  <dcterms:created xsi:type="dcterms:W3CDTF">2017-09-20T16:51:00Z</dcterms:created>
  <dcterms:modified xsi:type="dcterms:W3CDTF">2019-03-02T09:15:00Z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